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E6F" w14:textId="77777777" w:rsidR="00B62820" w:rsidRPr="00B62820" w:rsidRDefault="00B62820" w:rsidP="00B6282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62820">
        <w:rPr>
          <w:rFonts w:ascii="Times New Roman" w:hAnsi="Times New Roman"/>
          <w:sz w:val="28"/>
          <w:szCs w:val="28"/>
        </w:rPr>
        <w:t>Додаток 1 до наказу</w:t>
      </w:r>
    </w:p>
    <w:p w14:paraId="2B526727" w14:textId="384583DD" w:rsidR="00B62820" w:rsidRPr="00B62820" w:rsidRDefault="00142E79" w:rsidP="00142E7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A2C8A" w:rsidRPr="001C2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0944D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___від_____________</w:t>
      </w:r>
    </w:p>
    <w:p w14:paraId="17C7776F" w14:textId="27B55F02" w:rsidR="00681302" w:rsidRPr="000944DE" w:rsidRDefault="00AA2C8A" w:rsidP="00F86B0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C8628A" w:rsidRPr="00C8628A">
        <w:rPr>
          <w:rFonts w:ascii="Times New Roman" w:hAnsi="Times New Roman"/>
          <w:sz w:val="28"/>
          <w:szCs w:val="28"/>
        </w:rPr>
        <w:t>Про затвердження в новій редакції Положення про систему рейтингування підрозділів за показниками діяльності (профілі)</w:t>
      </w:r>
    </w:p>
    <w:p w14:paraId="5A3DAE3F" w14:textId="77777777" w:rsidR="00681302" w:rsidRPr="00B62820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B528753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CD3E9C7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BC7AF2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1C54EF0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972096E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81E25DC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9F574B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6E4A126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C0724E4" w14:textId="58DAA7E1" w:rsidR="00681302" w:rsidRPr="009C4F88" w:rsidRDefault="00681302" w:rsidP="00B3780A">
      <w:pPr>
        <w:tabs>
          <w:tab w:val="left" w:pos="659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91F22DB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F8892DF" w14:textId="77777777" w:rsidR="005A24CA" w:rsidRPr="009C4F88" w:rsidRDefault="00681302" w:rsidP="00B3780A">
      <w:pPr>
        <w:pStyle w:val="20"/>
        <w:spacing w:before="0"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9C4F88">
        <w:rPr>
          <w:rFonts w:ascii="Times New Roman" w:hAnsi="Times New Roman"/>
          <w:i w:val="0"/>
          <w:sz w:val="28"/>
          <w:szCs w:val="28"/>
        </w:rPr>
        <w:t>ПОЛОЖЕННЯ</w:t>
      </w:r>
    </w:p>
    <w:p w14:paraId="38726B6B" w14:textId="15774EDB" w:rsidR="00681302" w:rsidRPr="009C4F88" w:rsidRDefault="00887B9F" w:rsidP="00B3780A">
      <w:pPr>
        <w:pStyle w:val="20"/>
        <w:spacing w:before="0" w:after="0" w:line="276" w:lineRule="auto"/>
        <w:rPr>
          <w:rFonts w:ascii="Times New Roman" w:eastAsia="Calibri" w:hAnsi="Times New Roman"/>
          <w:i w:val="0"/>
          <w:caps/>
          <w:sz w:val="28"/>
          <w:szCs w:val="28"/>
        </w:rPr>
      </w:pPr>
      <w:r w:rsidRPr="009C4F88">
        <w:rPr>
          <w:rFonts w:ascii="Times New Roman" w:eastAsia="Calibri" w:hAnsi="Times New Roman"/>
          <w:i w:val="0"/>
          <w:sz w:val="28"/>
          <w:szCs w:val="28"/>
        </w:rPr>
        <w:t>про систему рейтингування підрозділів за показниками діяльності (профілі)</w:t>
      </w:r>
    </w:p>
    <w:p w14:paraId="188FAA43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A837D44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1698B00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90624B0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BBA5BCB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7603040" w14:textId="07384C03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027AEE4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D6D17AD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D322030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709B132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9DFAA3F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4931FFB" w14:textId="77777777" w:rsidR="00681302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8BD8F5F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B323423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06E985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439861B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DDA9E23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6F186E0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CFF0E6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659AA3C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8E46AE2" w14:textId="77777777" w:rsidR="009C4F88" w:rsidRDefault="009C4F88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B3ECC01" w14:textId="77777777" w:rsidR="00681302" w:rsidRPr="009C4F88" w:rsidRDefault="00681302" w:rsidP="00B3780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3252AE3" w14:textId="604D3739" w:rsidR="00681302" w:rsidRPr="000944DE" w:rsidRDefault="000944DE" w:rsidP="00B3780A">
      <w:pPr>
        <w:pStyle w:val="FR1"/>
        <w:widowControl/>
        <w:spacing w:line="276" w:lineRule="auto"/>
        <w:jc w:val="center"/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 w:val="0"/>
          <w:sz w:val="28"/>
          <w:szCs w:val="28"/>
          <w:lang w:val="uk-UA"/>
        </w:rPr>
        <w:t>Київ – 2023</w:t>
      </w:r>
    </w:p>
    <w:p w14:paraId="03EB2F38" w14:textId="718AB58C" w:rsidR="00681302" w:rsidRPr="009C4F88" w:rsidRDefault="00681302" w:rsidP="00B3780A">
      <w:pPr>
        <w:pStyle w:val="10"/>
        <w:numPr>
          <w:ilvl w:val="0"/>
          <w:numId w:val="14"/>
        </w:numPr>
        <w:spacing w:before="0" w:after="0" w:line="276" w:lineRule="auto"/>
        <w:rPr>
          <w:rFonts w:ascii="Times New Roman" w:hAnsi="Times New Roman"/>
        </w:rPr>
      </w:pPr>
      <w:r w:rsidRPr="009C4F88">
        <w:rPr>
          <w:rFonts w:ascii="Times New Roman" w:hAnsi="Times New Roman"/>
        </w:rPr>
        <w:br w:type="page"/>
      </w:r>
      <w:r w:rsidRPr="009C4F88">
        <w:rPr>
          <w:rFonts w:ascii="Times New Roman" w:hAnsi="Times New Roman"/>
        </w:rPr>
        <w:lastRenderedPageBreak/>
        <w:t xml:space="preserve">ЗАГАЛЬНІ </w:t>
      </w:r>
      <w:r w:rsidR="00021269" w:rsidRPr="009C4F88">
        <w:rPr>
          <w:rFonts w:ascii="Times New Roman" w:hAnsi="Times New Roman"/>
        </w:rPr>
        <w:t>ПОЛОЖЕННЯ</w:t>
      </w:r>
    </w:p>
    <w:p w14:paraId="713BE28C" w14:textId="7AFFFF2C" w:rsidR="00887B9F" w:rsidRPr="009C4F88" w:rsidRDefault="00681302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Положення про </w:t>
      </w:r>
      <w:r w:rsidR="00887B9F" w:rsidRPr="009C4F88">
        <w:rPr>
          <w:rFonts w:ascii="Times New Roman" w:hAnsi="Times New Roman"/>
        </w:rPr>
        <w:t xml:space="preserve">систему рейтингування підрозділів за показниками діяльності (профілі) (далі – Положення) визначає організацію проведення, методику розрахунку, оприлюднення та використання системи рейтингування </w:t>
      </w:r>
      <w:r w:rsidR="00924D38" w:rsidRPr="009C4F88">
        <w:rPr>
          <w:rFonts w:ascii="Times New Roman" w:hAnsi="Times New Roman"/>
        </w:rPr>
        <w:t>факультетів</w:t>
      </w:r>
      <w:r w:rsidR="00924D38">
        <w:rPr>
          <w:rFonts w:ascii="Times New Roman" w:hAnsi="Times New Roman"/>
        </w:rPr>
        <w:t>/</w:t>
      </w:r>
      <w:r w:rsidR="00924D38" w:rsidRPr="009C4F88">
        <w:rPr>
          <w:rFonts w:ascii="Times New Roman" w:hAnsi="Times New Roman"/>
        </w:rPr>
        <w:t>навчально-наукових інститутів, кафедр</w:t>
      </w:r>
      <w:r w:rsidR="00924D38" w:rsidRPr="009C4F88" w:rsidDel="00924D38">
        <w:rPr>
          <w:rFonts w:ascii="Times New Roman" w:hAnsi="Times New Roman"/>
        </w:rPr>
        <w:t xml:space="preserve"> </w:t>
      </w:r>
      <w:r w:rsidR="00924D38">
        <w:rPr>
          <w:rFonts w:ascii="Times New Roman" w:hAnsi="Times New Roman"/>
        </w:rPr>
        <w:t xml:space="preserve">(далі – навчальні підрозділи) </w:t>
      </w:r>
      <w:r w:rsidR="00887B9F" w:rsidRPr="009C4F88">
        <w:rPr>
          <w:rFonts w:ascii="Times New Roman" w:hAnsi="Times New Roman"/>
        </w:rPr>
        <w:t>у системі управління КПІ ім. Ігоря Сікорського (далі – Університет) на основі показників діяльності.</w:t>
      </w:r>
    </w:p>
    <w:p w14:paraId="38E78DD8" w14:textId="32606FB3" w:rsidR="00887B9F" w:rsidRPr="009C4F88" w:rsidRDefault="00CB0D75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Положення розроблено на підставі Стандартів і рекомендацій щодо забезпечення якості в Європейському просторі вищої освіти, </w:t>
      </w:r>
      <w:r w:rsidR="00891B90" w:rsidRPr="00590EA8">
        <w:rPr>
          <w:rFonts w:ascii="Times New Roman" w:hAnsi="Times New Roman"/>
        </w:rPr>
        <w:t xml:space="preserve">ДСТУ </w:t>
      </w:r>
      <w:r w:rsidR="00891B90">
        <w:rPr>
          <w:rFonts w:ascii="Times New Roman" w:hAnsi="Times New Roman"/>
          <w:lang w:val="en-US"/>
        </w:rPr>
        <w:t>ISO</w:t>
      </w:r>
      <w:r w:rsidR="00891B90" w:rsidRPr="00590EA8">
        <w:rPr>
          <w:rFonts w:ascii="Times New Roman" w:hAnsi="Times New Roman"/>
        </w:rPr>
        <w:t xml:space="preserve"> 9001 -2015 </w:t>
      </w:r>
      <w:r w:rsidRPr="009C4F88">
        <w:rPr>
          <w:rFonts w:ascii="Times New Roman" w:hAnsi="Times New Roman"/>
        </w:rPr>
        <w:t xml:space="preserve">«Системи управління якістю», Положення про організацію освітнього процесу, Положення про систему внутрішнього забезпечення якості вищої освіти, Статуту КПІ ім. Ігоря Сікорського та Стратегії розвитку </w:t>
      </w:r>
      <w:r w:rsidR="00891B90">
        <w:rPr>
          <w:rFonts w:ascii="Times New Roman" w:hAnsi="Times New Roman"/>
        </w:rPr>
        <w:t>Національного технічного університету України «Київський політехнічний інститут ім. Ігоря Сікорського»</w:t>
      </w:r>
      <w:r w:rsidR="00891B90" w:rsidRPr="009C4F88">
        <w:rPr>
          <w:rFonts w:ascii="Times New Roman" w:hAnsi="Times New Roman"/>
        </w:rPr>
        <w:t xml:space="preserve"> </w:t>
      </w:r>
      <w:r w:rsidRPr="009C4F88">
        <w:rPr>
          <w:rFonts w:ascii="Times New Roman" w:hAnsi="Times New Roman"/>
        </w:rPr>
        <w:t>на 2020-2025 р.</w:t>
      </w:r>
    </w:p>
    <w:p w14:paraId="3DF006A3" w14:textId="33674F93" w:rsidR="00BA72DB" w:rsidRPr="009C4F88" w:rsidRDefault="00BA72DB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Показники діяльності </w:t>
      </w:r>
      <w:r w:rsidR="00924D38">
        <w:rPr>
          <w:rFonts w:ascii="Times New Roman" w:hAnsi="Times New Roman"/>
        </w:rPr>
        <w:t xml:space="preserve">навчальних </w:t>
      </w:r>
      <w:r w:rsidRPr="009C4F88">
        <w:rPr>
          <w:rFonts w:ascii="Times New Roman" w:hAnsi="Times New Roman"/>
        </w:rPr>
        <w:t>підрозділів (профілі) базуються на показниках</w:t>
      </w:r>
      <w:r w:rsidR="00D62558" w:rsidRPr="009C4F88">
        <w:rPr>
          <w:rFonts w:ascii="Times New Roman" w:hAnsi="Times New Roman"/>
        </w:rPr>
        <w:t>,</w:t>
      </w:r>
      <w:r w:rsidRPr="009C4F88">
        <w:rPr>
          <w:rFonts w:ascii="Times New Roman" w:hAnsi="Times New Roman"/>
        </w:rPr>
        <w:t xml:space="preserve"> які застосовуються у глобальних міжнародних і вітчизняних рейтингах, при проведенні акредитації, ліцензуванні, формульному фінансуванні Університету, формуванні держзамовлення, науковій атестації, при визначенні статусу дослідницького та у річних звітах Університету (узагальненому та за напрямами діяльності).</w:t>
      </w:r>
    </w:p>
    <w:p w14:paraId="1E669BD9" w14:textId="279BE3CA" w:rsidR="00E75E08" w:rsidRPr="009C4F88" w:rsidRDefault="00E75E08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Рейтингування </w:t>
      </w:r>
      <w:r w:rsidR="00924D38">
        <w:rPr>
          <w:rFonts w:ascii="Times New Roman" w:hAnsi="Times New Roman"/>
        </w:rPr>
        <w:t xml:space="preserve">навчальних </w:t>
      </w:r>
      <w:r w:rsidRPr="009C4F88">
        <w:rPr>
          <w:rFonts w:ascii="Times New Roman" w:hAnsi="Times New Roman"/>
        </w:rPr>
        <w:t>підрозділів здійснюється</w:t>
      </w:r>
      <w:r w:rsidR="00FA5BF8" w:rsidRPr="009C4F88">
        <w:rPr>
          <w:rFonts w:ascii="Times New Roman" w:hAnsi="Times New Roman"/>
        </w:rPr>
        <w:t xml:space="preserve"> шляхом моніторингу показників діяльності</w:t>
      </w:r>
      <w:r w:rsidRPr="009C4F88">
        <w:rPr>
          <w:rFonts w:ascii="Times New Roman" w:hAnsi="Times New Roman"/>
        </w:rPr>
        <w:t xml:space="preserve"> на рівні Університету, факультету/</w:t>
      </w:r>
      <w:r w:rsidR="00E26484" w:rsidRPr="009C4F88">
        <w:rPr>
          <w:rFonts w:ascii="Times New Roman" w:hAnsi="Times New Roman"/>
        </w:rPr>
        <w:t xml:space="preserve">навчально-наукового </w:t>
      </w:r>
      <w:r w:rsidRPr="009C4F88">
        <w:rPr>
          <w:rFonts w:ascii="Times New Roman" w:hAnsi="Times New Roman"/>
        </w:rPr>
        <w:t>інституту, кафедри</w:t>
      </w:r>
      <w:r w:rsidR="00891B90">
        <w:rPr>
          <w:rFonts w:ascii="Times New Roman" w:hAnsi="Times New Roman"/>
        </w:rPr>
        <w:t xml:space="preserve"> Департаментом якості освітнього процесу (далі – ДЯОП)</w:t>
      </w:r>
      <w:r w:rsidRPr="009C4F88">
        <w:rPr>
          <w:rFonts w:ascii="Times New Roman" w:hAnsi="Times New Roman"/>
        </w:rPr>
        <w:t>.</w:t>
      </w:r>
    </w:p>
    <w:p w14:paraId="7F1710E6" w14:textId="14E86586" w:rsidR="00582574" w:rsidRPr="009C4F88" w:rsidRDefault="00582574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Система рейтингування </w:t>
      </w:r>
      <w:r w:rsidR="005372EC">
        <w:rPr>
          <w:rFonts w:ascii="Times New Roman" w:hAnsi="Times New Roman"/>
        </w:rPr>
        <w:t xml:space="preserve">навчальних </w:t>
      </w:r>
      <w:r w:rsidRPr="009C4F88">
        <w:rPr>
          <w:rFonts w:ascii="Times New Roman" w:hAnsi="Times New Roman"/>
        </w:rPr>
        <w:t>підрозділів за показниками діяльності (профілі) є складовою системи внутрішнього забезпечення якості вищої освіти в Університеті і здійснюється з метою:</w:t>
      </w:r>
    </w:p>
    <w:p w14:paraId="41C9B796" w14:textId="6B70F2F6" w:rsidR="00E75E08" w:rsidRPr="009C4F88" w:rsidRDefault="00582574" w:rsidP="00B3780A">
      <w:pPr>
        <w:pStyle w:val="a0"/>
        <w:numPr>
          <w:ilvl w:val="0"/>
          <w:numId w:val="36"/>
        </w:numPr>
        <w:tabs>
          <w:tab w:val="left" w:pos="567"/>
        </w:tabs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оцінки потенціалу, рівня роботи </w:t>
      </w:r>
      <w:r w:rsidR="005372EC">
        <w:rPr>
          <w:rFonts w:ascii="Times New Roman" w:hAnsi="Times New Roman"/>
        </w:rPr>
        <w:t>навчальних підрозділів</w:t>
      </w:r>
      <w:r w:rsidRPr="009C4F88">
        <w:rPr>
          <w:rFonts w:ascii="Times New Roman" w:hAnsi="Times New Roman"/>
        </w:rPr>
        <w:t xml:space="preserve"> та їх стимулювання на підвищення якості роботи за показниками, які безпосередньо визначають ефективність діяльності</w:t>
      </w:r>
      <w:r w:rsidR="00891B90">
        <w:rPr>
          <w:rFonts w:ascii="Times New Roman" w:hAnsi="Times New Roman"/>
        </w:rPr>
        <w:t xml:space="preserve"> та наведені в додатках 1</w:t>
      </w:r>
      <w:r w:rsidR="00594918">
        <w:rPr>
          <w:rFonts w:ascii="Times New Roman" w:hAnsi="Times New Roman"/>
        </w:rPr>
        <w:t>-</w:t>
      </w:r>
      <w:r w:rsidR="006861D7">
        <w:rPr>
          <w:rFonts w:ascii="Times New Roman" w:hAnsi="Times New Roman"/>
        </w:rPr>
        <w:t>3</w:t>
      </w:r>
      <w:r w:rsidR="00891B90">
        <w:rPr>
          <w:rFonts w:ascii="Times New Roman" w:hAnsi="Times New Roman"/>
        </w:rPr>
        <w:t xml:space="preserve"> до цього </w:t>
      </w:r>
      <w:r w:rsidR="00594918">
        <w:rPr>
          <w:rFonts w:ascii="Times New Roman" w:hAnsi="Times New Roman"/>
        </w:rPr>
        <w:t>П</w:t>
      </w:r>
      <w:r w:rsidR="00891B90">
        <w:rPr>
          <w:rFonts w:ascii="Times New Roman" w:hAnsi="Times New Roman"/>
        </w:rPr>
        <w:t>оложення</w:t>
      </w:r>
      <w:r w:rsidR="00C15F85" w:rsidRPr="009C4F88">
        <w:rPr>
          <w:rFonts w:ascii="Times New Roman" w:hAnsi="Times New Roman"/>
        </w:rPr>
        <w:t>;</w:t>
      </w:r>
    </w:p>
    <w:p w14:paraId="1A69E9BA" w14:textId="17DE50AB" w:rsidR="00C15F85" w:rsidRPr="009C4F88" w:rsidRDefault="00C15F85" w:rsidP="00B3780A">
      <w:pPr>
        <w:pStyle w:val="a0"/>
        <w:numPr>
          <w:ilvl w:val="0"/>
          <w:numId w:val="36"/>
        </w:numPr>
        <w:tabs>
          <w:tab w:val="left" w:pos="567"/>
        </w:tabs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забезпечення прозорості та об’єктивності оцінювання діяльності </w:t>
      </w:r>
      <w:r w:rsidR="005372EC">
        <w:rPr>
          <w:rFonts w:ascii="Times New Roman" w:hAnsi="Times New Roman"/>
        </w:rPr>
        <w:t>навчальних</w:t>
      </w:r>
      <w:r w:rsidR="005372EC" w:rsidRPr="009C4F88">
        <w:rPr>
          <w:rFonts w:ascii="Times New Roman" w:hAnsi="Times New Roman"/>
        </w:rPr>
        <w:t xml:space="preserve"> </w:t>
      </w:r>
      <w:r w:rsidRPr="009C4F88">
        <w:rPr>
          <w:rFonts w:ascii="Times New Roman" w:hAnsi="Times New Roman"/>
        </w:rPr>
        <w:t>підрозділів;</w:t>
      </w:r>
    </w:p>
    <w:p w14:paraId="7BF93D89" w14:textId="7B5337F0" w:rsidR="00C15F85" w:rsidRPr="009C4F88" w:rsidRDefault="00C15F85" w:rsidP="00B3780A">
      <w:pPr>
        <w:pStyle w:val="a0"/>
        <w:numPr>
          <w:ilvl w:val="0"/>
          <w:numId w:val="36"/>
        </w:numPr>
        <w:tabs>
          <w:tab w:val="left" w:pos="567"/>
        </w:tabs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>підвищення мотивації д</w:t>
      </w:r>
      <w:r w:rsidR="00E26484" w:rsidRPr="009C4F88">
        <w:rPr>
          <w:rFonts w:ascii="Times New Roman" w:hAnsi="Times New Roman"/>
        </w:rPr>
        <w:t>о</w:t>
      </w:r>
      <w:r w:rsidRPr="009C4F88">
        <w:rPr>
          <w:rFonts w:ascii="Times New Roman" w:hAnsi="Times New Roman"/>
        </w:rPr>
        <w:t xml:space="preserve"> ефективної діяльності</w:t>
      </w:r>
      <w:r w:rsidR="00A32608">
        <w:rPr>
          <w:rFonts w:ascii="Times New Roman" w:hAnsi="Times New Roman"/>
        </w:rPr>
        <w:t xml:space="preserve"> навчальних підрозділів</w:t>
      </w:r>
      <w:r w:rsidRPr="009C4F88">
        <w:rPr>
          <w:rFonts w:ascii="Times New Roman" w:hAnsi="Times New Roman"/>
        </w:rPr>
        <w:t>;</w:t>
      </w:r>
    </w:p>
    <w:p w14:paraId="3F9B09C9" w14:textId="2DB359E6" w:rsidR="00C15F85" w:rsidRPr="009C4F88" w:rsidRDefault="004C6635" w:rsidP="00B3780A">
      <w:pPr>
        <w:pStyle w:val="a0"/>
        <w:numPr>
          <w:ilvl w:val="0"/>
          <w:numId w:val="36"/>
        </w:numPr>
        <w:tabs>
          <w:tab w:val="left" w:pos="567"/>
        </w:tabs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>забезпечення трансформації Університету до дослідницького закладу вищої освіти світового рівня.</w:t>
      </w:r>
    </w:p>
    <w:p w14:paraId="2EF252B2" w14:textId="46C51985" w:rsidR="00456818" w:rsidRPr="009C4F88" w:rsidRDefault="00F85A10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lastRenderedPageBreak/>
        <w:t xml:space="preserve">Рейтингування </w:t>
      </w:r>
      <w:bookmarkStart w:id="0" w:name="_Hlk128404705"/>
      <w:r w:rsidR="00826C08">
        <w:rPr>
          <w:rFonts w:ascii="Times New Roman" w:hAnsi="Times New Roman"/>
        </w:rPr>
        <w:t xml:space="preserve">навчальних підрозділів </w:t>
      </w:r>
      <w:bookmarkEnd w:id="0"/>
      <w:r w:rsidRPr="009C4F88">
        <w:rPr>
          <w:rFonts w:ascii="Times New Roman" w:hAnsi="Times New Roman"/>
        </w:rPr>
        <w:t>проводиться за результатами</w:t>
      </w:r>
      <w:r w:rsidR="00FA5BF8" w:rsidRPr="009C4F88">
        <w:rPr>
          <w:rFonts w:ascii="Times New Roman" w:hAnsi="Times New Roman"/>
        </w:rPr>
        <w:t xml:space="preserve"> моніторингу</w:t>
      </w:r>
      <w:r w:rsidRPr="009C4F88">
        <w:rPr>
          <w:rFonts w:ascii="Times New Roman" w:hAnsi="Times New Roman"/>
        </w:rPr>
        <w:t xml:space="preserve"> щорічних звітів</w:t>
      </w:r>
      <w:r w:rsidR="00A7322A">
        <w:rPr>
          <w:rStyle w:val="a7"/>
          <w:rFonts w:ascii="Times New Roman" w:hAnsi="Times New Roman"/>
        </w:rPr>
        <w:footnoteReference w:id="1"/>
      </w:r>
      <w:r w:rsidRPr="009C4F88">
        <w:rPr>
          <w:rFonts w:ascii="Times New Roman" w:hAnsi="Times New Roman"/>
        </w:rPr>
        <w:t xml:space="preserve"> керівників підрозділів усіх рівнів</w:t>
      </w:r>
      <w:r w:rsidR="00594918">
        <w:rPr>
          <w:rFonts w:ascii="Times New Roman" w:hAnsi="Times New Roman"/>
        </w:rPr>
        <w:t xml:space="preserve"> (департаментів, управлінь, відділів, центрів тощо)</w:t>
      </w:r>
      <w:r w:rsidR="00456818" w:rsidRPr="009C4F88">
        <w:rPr>
          <w:rFonts w:ascii="Times New Roman" w:hAnsi="Times New Roman"/>
        </w:rPr>
        <w:t>.</w:t>
      </w:r>
    </w:p>
    <w:p w14:paraId="1C130C1C" w14:textId="74D368D0" w:rsidR="00681302" w:rsidRPr="009C4F88" w:rsidRDefault="00681302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>Технічний супровід</w:t>
      </w:r>
      <w:r w:rsidR="00F721CA" w:rsidRPr="009C4F88">
        <w:rPr>
          <w:rFonts w:ascii="Times New Roman" w:hAnsi="Times New Roman"/>
        </w:rPr>
        <w:t xml:space="preserve"> </w:t>
      </w:r>
      <w:r w:rsidR="00891B90">
        <w:rPr>
          <w:rFonts w:ascii="Times New Roman" w:hAnsi="Times New Roman"/>
        </w:rPr>
        <w:t xml:space="preserve">рейтингування </w:t>
      </w:r>
      <w:r w:rsidR="00594918">
        <w:rPr>
          <w:rFonts w:ascii="Times New Roman" w:hAnsi="Times New Roman"/>
        </w:rPr>
        <w:t>навчальних підрозділів</w:t>
      </w:r>
      <w:r w:rsidR="00891B90">
        <w:rPr>
          <w:rFonts w:ascii="Times New Roman" w:hAnsi="Times New Roman"/>
        </w:rPr>
        <w:t xml:space="preserve"> </w:t>
      </w:r>
      <w:r w:rsidR="00F721CA" w:rsidRPr="009C4F88">
        <w:rPr>
          <w:rFonts w:ascii="Times New Roman" w:hAnsi="Times New Roman"/>
        </w:rPr>
        <w:t>здійснюється за допомогою</w:t>
      </w:r>
      <w:r w:rsidRPr="009C4F88">
        <w:rPr>
          <w:rFonts w:ascii="Times New Roman" w:hAnsi="Times New Roman"/>
        </w:rPr>
        <w:t xml:space="preserve"> </w:t>
      </w:r>
      <w:r w:rsidR="00F721CA" w:rsidRPr="009C4F88">
        <w:rPr>
          <w:rFonts w:ascii="Times New Roman" w:hAnsi="Times New Roman"/>
        </w:rPr>
        <w:t>бази даних (БД)</w:t>
      </w:r>
      <w:r w:rsidR="005317B7" w:rsidRPr="009C4F88">
        <w:rPr>
          <w:rFonts w:ascii="Times New Roman" w:hAnsi="Times New Roman"/>
        </w:rPr>
        <w:t xml:space="preserve"> «</w:t>
      </w:r>
      <w:r w:rsidR="00E96EE6" w:rsidRPr="009C4F88">
        <w:rPr>
          <w:rFonts w:ascii="Times New Roman" w:hAnsi="Times New Roman"/>
        </w:rPr>
        <w:t>Профілі</w:t>
      </w:r>
      <w:r w:rsidR="00F721CA" w:rsidRPr="009C4F88">
        <w:rPr>
          <w:rFonts w:ascii="Times New Roman" w:hAnsi="Times New Roman"/>
        </w:rPr>
        <w:t xml:space="preserve"> підрозділів</w:t>
      </w:r>
      <w:r w:rsidR="005317B7" w:rsidRPr="009C4F88">
        <w:rPr>
          <w:rFonts w:ascii="Times New Roman" w:hAnsi="Times New Roman"/>
        </w:rPr>
        <w:t>»</w:t>
      </w:r>
      <w:r w:rsidR="00F721CA" w:rsidRPr="009C4F88">
        <w:rPr>
          <w:rFonts w:ascii="Times New Roman" w:hAnsi="Times New Roman"/>
        </w:rPr>
        <w:t>.</w:t>
      </w:r>
    </w:p>
    <w:p w14:paraId="20B5952D" w14:textId="398CAC4F" w:rsidR="00891B90" w:rsidRDefault="00891B90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Заповнення БД «Профіль підрозділу» здійснюється структурними підрозділами університету до повноважень яких належить: збір, обробка та збереження інформації </w:t>
      </w:r>
      <w:r w:rsidR="00BC52BB">
        <w:rPr>
          <w:rFonts w:ascii="Times New Roman" w:hAnsi="Times New Roman"/>
        </w:rPr>
        <w:t>за відповідними напрямами роботи</w:t>
      </w:r>
      <w:r w:rsidR="00F25773">
        <w:rPr>
          <w:rFonts w:ascii="Times New Roman" w:hAnsi="Times New Roman"/>
        </w:rPr>
        <w:t xml:space="preserve"> (додат</w:t>
      </w:r>
      <w:r w:rsidR="00594918">
        <w:rPr>
          <w:rFonts w:ascii="Times New Roman" w:hAnsi="Times New Roman"/>
        </w:rPr>
        <w:t>ки</w:t>
      </w:r>
      <w:r w:rsidR="00F25773">
        <w:rPr>
          <w:rFonts w:ascii="Times New Roman" w:hAnsi="Times New Roman"/>
        </w:rPr>
        <w:t xml:space="preserve"> 1</w:t>
      </w:r>
      <w:r w:rsidR="00594918">
        <w:rPr>
          <w:rFonts w:ascii="Times New Roman" w:hAnsi="Times New Roman"/>
        </w:rPr>
        <w:t>-3 до цього Положення</w:t>
      </w:r>
      <w:r w:rsidR="00F25773">
        <w:rPr>
          <w:rFonts w:ascii="Times New Roman" w:hAnsi="Times New Roman"/>
        </w:rPr>
        <w:t>)</w:t>
      </w:r>
      <w:r w:rsidR="00BC52BB">
        <w:rPr>
          <w:rFonts w:ascii="Times New Roman" w:hAnsi="Times New Roman"/>
        </w:rPr>
        <w:t>.</w:t>
      </w:r>
    </w:p>
    <w:p w14:paraId="6D457064" w14:textId="473A81A6" w:rsidR="00F721CA" w:rsidRPr="009C4F88" w:rsidRDefault="00BC52BB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Терміни заповнення БД «Профіль підрозділу» встановлюються </w:t>
      </w:r>
      <w:r w:rsidR="00F721CA" w:rsidRPr="009C4F88">
        <w:rPr>
          <w:rFonts w:ascii="Times New Roman" w:hAnsi="Times New Roman"/>
        </w:rPr>
        <w:t xml:space="preserve">розпорядженням </w:t>
      </w:r>
      <w:r w:rsidR="006E2538">
        <w:rPr>
          <w:rFonts w:ascii="Times New Roman" w:hAnsi="Times New Roman"/>
        </w:rPr>
        <w:t>проректора з науково-педагогічної роботи</w:t>
      </w:r>
      <w:r>
        <w:rPr>
          <w:rFonts w:ascii="Times New Roman" w:hAnsi="Times New Roman"/>
        </w:rPr>
        <w:t>.</w:t>
      </w:r>
    </w:p>
    <w:p w14:paraId="3CBDA81A" w14:textId="7FEC224A" w:rsidR="00BC52BB" w:rsidRDefault="00F721CA" w:rsidP="00BC52BB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BC52BB">
        <w:rPr>
          <w:rFonts w:ascii="Times New Roman" w:hAnsi="Times New Roman"/>
        </w:rPr>
        <w:t>Координацію щодо наповнення</w:t>
      </w:r>
      <w:r w:rsidR="00BD11E6" w:rsidRPr="00BC52BB">
        <w:rPr>
          <w:rFonts w:ascii="Times New Roman" w:hAnsi="Times New Roman"/>
        </w:rPr>
        <w:t xml:space="preserve"> даними</w:t>
      </w:r>
      <w:r w:rsidRPr="00BC52BB">
        <w:rPr>
          <w:rFonts w:ascii="Times New Roman" w:hAnsi="Times New Roman"/>
        </w:rPr>
        <w:t xml:space="preserve"> БД «Профілі підрозділів»,</w:t>
      </w:r>
      <w:r w:rsidR="00C50BFF" w:rsidRPr="00BC52BB">
        <w:rPr>
          <w:rFonts w:ascii="Times New Roman" w:hAnsi="Times New Roman"/>
        </w:rPr>
        <w:t xml:space="preserve"> </w:t>
      </w:r>
      <w:r w:rsidR="00BD11E6" w:rsidRPr="00BC52BB">
        <w:rPr>
          <w:rFonts w:ascii="Times New Roman" w:hAnsi="Times New Roman"/>
        </w:rPr>
        <w:t xml:space="preserve">їх </w:t>
      </w:r>
      <w:r w:rsidR="00C50BFF" w:rsidRPr="00BC52BB">
        <w:rPr>
          <w:rFonts w:ascii="Times New Roman" w:hAnsi="Times New Roman"/>
        </w:rPr>
        <w:t>опрацювання</w:t>
      </w:r>
      <w:r w:rsidR="00BD11E6" w:rsidRPr="00BC52BB">
        <w:rPr>
          <w:rFonts w:ascii="Times New Roman" w:hAnsi="Times New Roman"/>
        </w:rPr>
        <w:t>,</w:t>
      </w:r>
      <w:r w:rsidR="00C50BFF" w:rsidRPr="00BC52BB">
        <w:rPr>
          <w:rFonts w:ascii="Times New Roman" w:hAnsi="Times New Roman"/>
        </w:rPr>
        <w:t xml:space="preserve"> </w:t>
      </w:r>
      <w:r w:rsidRPr="00BC52BB">
        <w:rPr>
          <w:rFonts w:ascii="Times New Roman" w:hAnsi="Times New Roman"/>
        </w:rPr>
        <w:t>аналіз</w:t>
      </w:r>
      <w:r w:rsidR="00C50BFF" w:rsidRPr="00BC52BB">
        <w:rPr>
          <w:rFonts w:ascii="Times New Roman" w:hAnsi="Times New Roman"/>
        </w:rPr>
        <w:t xml:space="preserve"> внесених даних</w:t>
      </w:r>
      <w:r w:rsidR="00BD11E6" w:rsidRPr="00BC52BB">
        <w:rPr>
          <w:rFonts w:ascii="Times New Roman" w:hAnsi="Times New Roman"/>
        </w:rPr>
        <w:t xml:space="preserve"> та підведення</w:t>
      </w:r>
      <w:r w:rsidRPr="00BC52BB">
        <w:rPr>
          <w:rFonts w:ascii="Times New Roman" w:hAnsi="Times New Roman"/>
        </w:rPr>
        <w:t xml:space="preserve"> підсумк</w:t>
      </w:r>
      <w:r w:rsidR="00BD11E6" w:rsidRPr="00BC52BB">
        <w:rPr>
          <w:rFonts w:ascii="Times New Roman" w:hAnsi="Times New Roman"/>
        </w:rPr>
        <w:t xml:space="preserve">ів </w:t>
      </w:r>
      <w:r w:rsidR="00BC52BB" w:rsidRPr="00BC52BB">
        <w:rPr>
          <w:rFonts w:ascii="Times New Roman" w:hAnsi="Times New Roman"/>
        </w:rPr>
        <w:t xml:space="preserve">рейтингування та моніторингу </w:t>
      </w:r>
      <w:r w:rsidR="00BD11E6" w:rsidRPr="00BC52BB">
        <w:rPr>
          <w:rFonts w:ascii="Times New Roman" w:hAnsi="Times New Roman"/>
        </w:rPr>
        <w:t>здійснюється Д</w:t>
      </w:r>
      <w:r w:rsidR="00BC52BB" w:rsidRPr="00BC52BB">
        <w:rPr>
          <w:rFonts w:ascii="Times New Roman" w:hAnsi="Times New Roman"/>
        </w:rPr>
        <w:t>ЯОП</w:t>
      </w:r>
      <w:r w:rsidR="00BC52BB">
        <w:rPr>
          <w:rFonts w:ascii="Times New Roman" w:hAnsi="Times New Roman"/>
        </w:rPr>
        <w:t>.</w:t>
      </w:r>
    </w:p>
    <w:p w14:paraId="05E611FF" w14:textId="0F6B488F" w:rsidR="00BD11E6" w:rsidRPr="00BC52BB" w:rsidRDefault="00BC52BB" w:rsidP="00BC52BB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>
        <w:rPr>
          <w:rFonts w:ascii="Times New Roman" w:hAnsi="Times New Roman"/>
        </w:rPr>
        <w:t>Аналіз р</w:t>
      </w:r>
      <w:r w:rsidR="00287F4B" w:rsidRPr="00BC52BB">
        <w:rPr>
          <w:rFonts w:ascii="Times New Roman" w:hAnsi="Times New Roman"/>
        </w:rPr>
        <w:t>езульт</w:t>
      </w:r>
      <w:r w:rsidR="00F25773">
        <w:rPr>
          <w:rFonts w:ascii="Times New Roman" w:hAnsi="Times New Roman"/>
        </w:rPr>
        <w:t>аті</w:t>
      </w:r>
      <w:r>
        <w:rPr>
          <w:rFonts w:ascii="Times New Roman" w:hAnsi="Times New Roman"/>
        </w:rPr>
        <w:t>в</w:t>
      </w:r>
      <w:r w:rsidR="00287F4B" w:rsidRPr="00BC52BB">
        <w:rPr>
          <w:rFonts w:ascii="Times New Roman" w:hAnsi="Times New Roman"/>
        </w:rPr>
        <w:t xml:space="preserve"> рейтингу</w:t>
      </w:r>
      <w:r w:rsidR="00BD11E6" w:rsidRPr="00BC52BB">
        <w:rPr>
          <w:rFonts w:ascii="Times New Roman" w:hAnsi="Times New Roman"/>
        </w:rPr>
        <w:t xml:space="preserve"> </w:t>
      </w:r>
      <w:r w:rsidR="00EB6E27">
        <w:rPr>
          <w:rFonts w:ascii="Times New Roman" w:hAnsi="Times New Roman"/>
        </w:rPr>
        <w:t xml:space="preserve">навчальних </w:t>
      </w:r>
      <w:r w:rsidR="00BD11E6" w:rsidRPr="00BC52BB">
        <w:rPr>
          <w:rFonts w:ascii="Times New Roman" w:hAnsi="Times New Roman"/>
        </w:rPr>
        <w:t>підрозділів</w:t>
      </w:r>
      <w:r w:rsidR="00287F4B" w:rsidRPr="00BC52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є підставою для прийняття управлінських рішень щодо </w:t>
      </w:r>
      <w:r w:rsidR="00BD11E6" w:rsidRPr="00BC52BB">
        <w:rPr>
          <w:rFonts w:ascii="Times New Roman" w:hAnsi="Times New Roman"/>
        </w:rPr>
        <w:t>вдосконалення системи управління Університетом</w:t>
      </w:r>
      <w:r>
        <w:rPr>
          <w:rFonts w:ascii="Times New Roman" w:hAnsi="Times New Roman"/>
        </w:rPr>
        <w:t>.</w:t>
      </w:r>
      <w:r w:rsidR="00BD11E6" w:rsidRPr="00BC52BB">
        <w:rPr>
          <w:rFonts w:ascii="Times New Roman" w:hAnsi="Times New Roman"/>
        </w:rPr>
        <w:t xml:space="preserve"> </w:t>
      </w:r>
    </w:p>
    <w:p w14:paraId="56E2F10E" w14:textId="75B339F5" w:rsidR="003B7A05" w:rsidRPr="009C4F88" w:rsidRDefault="003B7A05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Результати рейтингу </w:t>
      </w:r>
      <w:r w:rsidR="00A12984">
        <w:rPr>
          <w:rFonts w:ascii="Times New Roman" w:hAnsi="Times New Roman"/>
        </w:rPr>
        <w:t xml:space="preserve">навчальних </w:t>
      </w:r>
      <w:r w:rsidRPr="009C4F88">
        <w:rPr>
          <w:rFonts w:ascii="Times New Roman" w:hAnsi="Times New Roman"/>
        </w:rPr>
        <w:t xml:space="preserve">підрозділів враховуються при </w:t>
      </w:r>
      <w:r w:rsidR="00BC52BB">
        <w:rPr>
          <w:rFonts w:ascii="Times New Roman" w:hAnsi="Times New Roman"/>
        </w:rPr>
        <w:t xml:space="preserve">прийняті рішень про ефективність роботи </w:t>
      </w:r>
      <w:r w:rsidR="00A12984">
        <w:rPr>
          <w:rFonts w:ascii="Times New Roman" w:hAnsi="Times New Roman"/>
        </w:rPr>
        <w:t>їх керівників</w:t>
      </w:r>
      <w:r w:rsidR="00BC52BB">
        <w:rPr>
          <w:rFonts w:ascii="Times New Roman" w:hAnsi="Times New Roman"/>
        </w:rPr>
        <w:t xml:space="preserve"> та виконання</w:t>
      </w:r>
      <w:r w:rsidR="00A12984">
        <w:rPr>
          <w:rFonts w:ascii="Times New Roman" w:hAnsi="Times New Roman"/>
        </w:rPr>
        <w:t xml:space="preserve"> ними</w:t>
      </w:r>
      <w:r w:rsidR="00BC52BB">
        <w:rPr>
          <w:rFonts w:ascii="Times New Roman" w:hAnsi="Times New Roman"/>
        </w:rPr>
        <w:t xml:space="preserve"> вимог </w:t>
      </w:r>
      <w:r w:rsidR="00A12984">
        <w:rPr>
          <w:rFonts w:ascii="Times New Roman" w:hAnsi="Times New Roman"/>
        </w:rPr>
        <w:t>їх</w:t>
      </w:r>
      <w:r w:rsidR="00BC52BB">
        <w:rPr>
          <w:rFonts w:ascii="Times New Roman" w:hAnsi="Times New Roman"/>
        </w:rPr>
        <w:t xml:space="preserve"> контракт</w:t>
      </w:r>
      <w:r w:rsidR="00A12984">
        <w:rPr>
          <w:rFonts w:ascii="Times New Roman" w:hAnsi="Times New Roman"/>
        </w:rPr>
        <w:t>ів</w:t>
      </w:r>
      <w:r w:rsidR="00BC52BB">
        <w:rPr>
          <w:rFonts w:ascii="Times New Roman" w:hAnsi="Times New Roman"/>
        </w:rPr>
        <w:t xml:space="preserve">, також, після припинення правового режиму військового стану та поновлення формульного фінансування закладів вищої освіти відповідно до Постанови КМУ № </w:t>
      </w:r>
      <w:hyperlink r:id="rId8" w:tgtFrame="_blank" w:history="1">
        <w:r w:rsidR="00BC52BB" w:rsidRPr="00721FB0">
          <w:rPr>
            <w:rFonts w:ascii="Times New Roman" w:hAnsi="Times New Roman"/>
          </w:rPr>
          <w:t>від 24 грудня 2019 р. № 1146</w:t>
        </w:r>
      </w:hyperlink>
      <w:r w:rsidR="00BC52BB" w:rsidRPr="00721FB0">
        <w:rPr>
          <w:rFonts w:ascii="Times New Roman" w:hAnsi="Times New Roman"/>
        </w:rPr>
        <w:t> </w:t>
      </w:r>
      <w:r w:rsidR="00BC52BB">
        <w:rPr>
          <w:rFonts w:ascii="Times New Roman" w:hAnsi="Times New Roman"/>
        </w:rPr>
        <w:t xml:space="preserve">- </w:t>
      </w:r>
      <w:r w:rsidRPr="009C4F88">
        <w:rPr>
          <w:rFonts w:ascii="Times New Roman" w:hAnsi="Times New Roman"/>
        </w:rPr>
        <w:t xml:space="preserve">формульному розподілі фондів на </w:t>
      </w:r>
      <w:r w:rsidR="00E26484" w:rsidRPr="009C4F88">
        <w:rPr>
          <w:rFonts w:ascii="Times New Roman" w:hAnsi="Times New Roman"/>
        </w:rPr>
        <w:t>о</w:t>
      </w:r>
      <w:r w:rsidRPr="009C4F88">
        <w:rPr>
          <w:rFonts w:ascii="Times New Roman" w:hAnsi="Times New Roman"/>
        </w:rPr>
        <w:t>плату</w:t>
      </w:r>
      <w:r w:rsidR="00E26484" w:rsidRPr="009C4F88">
        <w:rPr>
          <w:rFonts w:ascii="Times New Roman" w:hAnsi="Times New Roman"/>
        </w:rPr>
        <w:t xml:space="preserve"> праці</w:t>
      </w:r>
      <w:r w:rsidRPr="009C4F88">
        <w:rPr>
          <w:rFonts w:ascii="Times New Roman" w:hAnsi="Times New Roman"/>
        </w:rPr>
        <w:t xml:space="preserve"> науково-педагогічних працівників (</w:t>
      </w:r>
      <w:r w:rsidR="00BC52BB">
        <w:rPr>
          <w:rFonts w:ascii="Times New Roman" w:hAnsi="Times New Roman"/>
        </w:rPr>
        <w:t xml:space="preserve">далі - </w:t>
      </w:r>
      <w:r w:rsidRPr="009C4F88">
        <w:rPr>
          <w:rFonts w:ascii="Times New Roman" w:hAnsi="Times New Roman"/>
        </w:rPr>
        <w:t>НПП) та конкурсному відборі на заміщення вакантних посад керівників</w:t>
      </w:r>
      <w:r w:rsidR="00A12984">
        <w:rPr>
          <w:rFonts w:ascii="Times New Roman" w:hAnsi="Times New Roman"/>
        </w:rPr>
        <w:t xml:space="preserve"> навчальних</w:t>
      </w:r>
      <w:r w:rsidRPr="009C4F88">
        <w:rPr>
          <w:rFonts w:ascii="Times New Roman" w:hAnsi="Times New Roman"/>
        </w:rPr>
        <w:t xml:space="preserve"> підрозділів.</w:t>
      </w:r>
    </w:p>
    <w:p w14:paraId="0DA16BA3" w14:textId="64765682" w:rsidR="00681302" w:rsidRPr="009C4F88" w:rsidRDefault="00EC19A5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>О</w:t>
      </w:r>
      <w:r w:rsidR="00681302" w:rsidRPr="009C4F88">
        <w:rPr>
          <w:rFonts w:ascii="Times New Roman" w:hAnsi="Times New Roman"/>
        </w:rPr>
        <w:t>сновн</w:t>
      </w:r>
      <w:r w:rsidRPr="009C4F88">
        <w:rPr>
          <w:rFonts w:ascii="Times New Roman" w:hAnsi="Times New Roman"/>
        </w:rPr>
        <w:t>ими</w:t>
      </w:r>
      <w:r w:rsidR="00681302" w:rsidRPr="009C4F88">
        <w:rPr>
          <w:rFonts w:ascii="Times New Roman" w:hAnsi="Times New Roman"/>
        </w:rPr>
        <w:t xml:space="preserve"> </w:t>
      </w:r>
      <w:r w:rsidR="00117403" w:rsidRPr="009C4F88">
        <w:rPr>
          <w:rFonts w:ascii="Times New Roman" w:hAnsi="Times New Roman"/>
        </w:rPr>
        <w:t>принципами</w:t>
      </w:r>
      <w:r w:rsidR="00681302" w:rsidRPr="009C4F88">
        <w:rPr>
          <w:rFonts w:ascii="Times New Roman" w:hAnsi="Times New Roman"/>
        </w:rPr>
        <w:t xml:space="preserve"> системи визначення рейтингу </w:t>
      </w:r>
      <w:r w:rsidR="00BF33D4" w:rsidRPr="009C4F88">
        <w:rPr>
          <w:rFonts w:ascii="Times New Roman" w:hAnsi="Times New Roman"/>
        </w:rPr>
        <w:t>підрозділів</w:t>
      </w:r>
      <w:r w:rsidRPr="009C4F88">
        <w:rPr>
          <w:rFonts w:ascii="Times New Roman" w:hAnsi="Times New Roman"/>
        </w:rPr>
        <w:t xml:space="preserve"> є</w:t>
      </w:r>
      <w:r w:rsidR="00681302" w:rsidRPr="009C4F88">
        <w:rPr>
          <w:rFonts w:ascii="Times New Roman" w:hAnsi="Times New Roman"/>
        </w:rPr>
        <w:t>:</w:t>
      </w:r>
    </w:p>
    <w:p w14:paraId="77C94488" w14:textId="1EAA6265" w:rsidR="00287F4B" w:rsidRPr="009C4F88" w:rsidRDefault="00287F4B" w:rsidP="00B3780A">
      <w:pPr>
        <w:numPr>
          <w:ilvl w:val="0"/>
          <w:numId w:val="37"/>
        </w:numPr>
        <w:tabs>
          <w:tab w:val="num" w:pos="567"/>
        </w:tabs>
        <w:spacing w:line="276" w:lineRule="auto"/>
        <w:ind w:left="567" w:firstLine="633"/>
        <w:jc w:val="both"/>
        <w:rPr>
          <w:rFonts w:ascii="Times New Roman" w:hAnsi="Times New Roman"/>
          <w:sz w:val="28"/>
          <w:szCs w:val="28"/>
        </w:rPr>
      </w:pPr>
      <w:r w:rsidRPr="009C4F88">
        <w:rPr>
          <w:rFonts w:ascii="Times New Roman" w:hAnsi="Times New Roman"/>
          <w:sz w:val="28"/>
          <w:szCs w:val="28"/>
        </w:rPr>
        <w:t>формалізованість методики</w:t>
      </w:r>
      <w:r w:rsidR="00F25773">
        <w:rPr>
          <w:rFonts w:ascii="Times New Roman" w:hAnsi="Times New Roman"/>
          <w:sz w:val="28"/>
          <w:szCs w:val="28"/>
        </w:rPr>
        <w:t xml:space="preserve"> рейтингування</w:t>
      </w:r>
      <w:r w:rsidRPr="009C4F88">
        <w:rPr>
          <w:rFonts w:ascii="Times New Roman" w:hAnsi="Times New Roman"/>
          <w:sz w:val="28"/>
          <w:szCs w:val="28"/>
        </w:rPr>
        <w:t>;</w:t>
      </w:r>
    </w:p>
    <w:p w14:paraId="2F597863" w14:textId="4B0F6C0F" w:rsidR="00681302" w:rsidRPr="009C4F88" w:rsidRDefault="00BC52BB" w:rsidP="00B3780A">
      <w:pPr>
        <w:numPr>
          <w:ilvl w:val="0"/>
          <w:numId w:val="37"/>
        </w:numPr>
        <w:tabs>
          <w:tab w:val="num" w:pos="567"/>
        </w:tabs>
        <w:spacing w:line="276" w:lineRule="auto"/>
        <w:ind w:left="567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прозорість формування наборів даних, </w:t>
      </w:r>
      <w:r w:rsidR="00AF431D">
        <w:rPr>
          <w:rFonts w:ascii="Times New Roman" w:hAnsi="Times New Roman"/>
          <w:sz w:val="28"/>
          <w:szCs w:val="28"/>
        </w:rPr>
        <w:t>категорій політики</w:t>
      </w:r>
      <w:r>
        <w:rPr>
          <w:rFonts w:ascii="Times New Roman" w:hAnsi="Times New Roman"/>
          <w:sz w:val="28"/>
          <w:szCs w:val="28"/>
        </w:rPr>
        <w:t xml:space="preserve"> та порядк</w:t>
      </w:r>
      <w:r w:rsidR="00AF43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розрахунк</w:t>
      </w:r>
      <w:r w:rsidR="008F28D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14:paraId="7C6EBDC0" w14:textId="77777777" w:rsidR="00A95F14" w:rsidRPr="00721FB0" w:rsidRDefault="00BC52BB">
      <w:pPr>
        <w:numPr>
          <w:ilvl w:val="0"/>
          <w:numId w:val="37"/>
        </w:numPr>
        <w:tabs>
          <w:tab w:val="num" w:pos="567"/>
        </w:tabs>
        <w:spacing w:line="276" w:lineRule="auto"/>
        <w:ind w:left="567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доступність інформації про ре</w:t>
      </w:r>
      <w:r w:rsidR="00F25773">
        <w:rPr>
          <w:rFonts w:ascii="Times New Roman" w:hAnsi="Times New Roman"/>
          <w:sz w:val="28"/>
          <w:szCs w:val="28"/>
        </w:rPr>
        <w:t>йтингове</w:t>
      </w:r>
      <w:r>
        <w:rPr>
          <w:rFonts w:ascii="Times New Roman" w:hAnsi="Times New Roman"/>
          <w:sz w:val="28"/>
          <w:szCs w:val="28"/>
        </w:rPr>
        <w:t xml:space="preserve"> оцінювання </w:t>
      </w:r>
      <w:r w:rsidR="008F28D2">
        <w:rPr>
          <w:rFonts w:ascii="Times New Roman" w:hAnsi="Times New Roman"/>
          <w:sz w:val="28"/>
          <w:szCs w:val="28"/>
        </w:rPr>
        <w:t>навчальних підрозділів</w:t>
      </w:r>
      <w:r>
        <w:rPr>
          <w:rFonts w:ascii="Times New Roman" w:hAnsi="Times New Roman"/>
          <w:sz w:val="28"/>
          <w:szCs w:val="28"/>
        </w:rPr>
        <w:t xml:space="preserve"> та результати моніторингу</w:t>
      </w:r>
      <w:r w:rsidR="00A95F14">
        <w:rPr>
          <w:rFonts w:ascii="Times New Roman" w:hAnsi="Times New Roman"/>
          <w:sz w:val="28"/>
          <w:szCs w:val="28"/>
          <w:lang w:val="ru-RU"/>
        </w:rPr>
        <w:t>;</w:t>
      </w:r>
    </w:p>
    <w:p w14:paraId="28001895" w14:textId="2026834C" w:rsidR="00681302" w:rsidRPr="00F25773" w:rsidRDefault="00A95F14" w:rsidP="00721FB0">
      <w:pPr>
        <w:numPr>
          <w:ilvl w:val="0"/>
          <w:numId w:val="37"/>
        </w:numPr>
        <w:tabs>
          <w:tab w:val="num" w:pos="567"/>
        </w:tabs>
        <w:spacing w:line="276" w:lineRule="auto"/>
        <w:ind w:left="567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конкретність та вимірюваність цілі</w:t>
      </w:r>
      <w:r w:rsidR="00A7322A">
        <w:rPr>
          <w:rFonts w:ascii="Times New Roman" w:hAnsi="Times New Roman"/>
          <w:sz w:val="28"/>
          <w:szCs w:val="28"/>
        </w:rPr>
        <w:t>.</w:t>
      </w:r>
    </w:p>
    <w:p w14:paraId="3854FB1C" w14:textId="77777777" w:rsidR="00201DFD" w:rsidRPr="009C4F88" w:rsidRDefault="00201DFD" w:rsidP="00B3780A">
      <w:pPr>
        <w:tabs>
          <w:tab w:val="num" w:pos="15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F49A1F" w14:textId="57760CE2" w:rsidR="00707734" w:rsidRPr="00721FB0" w:rsidRDefault="00F25773" w:rsidP="00312462">
      <w:pPr>
        <w:pStyle w:val="10"/>
        <w:numPr>
          <w:ilvl w:val="0"/>
          <w:numId w:val="14"/>
        </w:numPr>
        <w:spacing w:before="0" w:after="0"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РЕЙТИНГУВАННЯ </w:t>
      </w:r>
      <w:r w:rsidR="00312462">
        <w:rPr>
          <w:rFonts w:ascii="Times New Roman" w:hAnsi="Times New Roman"/>
        </w:rPr>
        <w:t xml:space="preserve">НАВЧАЛЬНИХ ПІДРОЗДІЛІВ </w:t>
      </w:r>
    </w:p>
    <w:p w14:paraId="4C7F51B1" w14:textId="49BC2F27" w:rsidR="00F25773" w:rsidRDefault="00D8599C" w:rsidP="00A95F14">
      <w:pPr>
        <w:pStyle w:val="a0"/>
        <w:numPr>
          <w:ilvl w:val="1"/>
          <w:numId w:val="38"/>
        </w:numPr>
        <w:tabs>
          <w:tab w:val="left" w:pos="1134"/>
        </w:tabs>
        <w:spacing w:before="0" w:after="0" w:line="276" w:lineRule="auto"/>
        <w:ind w:left="0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>Профіль</w:t>
      </w:r>
      <w:r w:rsidR="00D62558" w:rsidRPr="009C4F88">
        <w:rPr>
          <w:rFonts w:ascii="Times New Roman" w:hAnsi="Times New Roman"/>
        </w:rPr>
        <w:t xml:space="preserve"> випускової</w:t>
      </w:r>
      <w:r w:rsidRPr="009C4F88">
        <w:rPr>
          <w:rFonts w:ascii="Times New Roman" w:hAnsi="Times New Roman"/>
        </w:rPr>
        <w:t xml:space="preserve"> </w:t>
      </w:r>
      <w:r w:rsidR="00063BBB" w:rsidRPr="009C4F88">
        <w:rPr>
          <w:rFonts w:ascii="Times New Roman" w:hAnsi="Times New Roman"/>
        </w:rPr>
        <w:t>кафедри</w:t>
      </w:r>
      <w:r w:rsidRPr="009C4F88">
        <w:rPr>
          <w:rFonts w:ascii="Times New Roman" w:hAnsi="Times New Roman"/>
        </w:rPr>
        <w:t xml:space="preserve"> складається з 6-ти </w:t>
      </w:r>
      <w:r w:rsidRPr="00F25773">
        <w:rPr>
          <w:rFonts w:ascii="Times New Roman" w:hAnsi="Times New Roman"/>
        </w:rPr>
        <w:t>категорій політики</w:t>
      </w:r>
      <w:r w:rsidR="00D62558" w:rsidRPr="00F25773">
        <w:rPr>
          <w:rFonts w:ascii="Times New Roman" w:hAnsi="Times New Roman"/>
        </w:rPr>
        <w:t xml:space="preserve"> (невипускової – з 4-х категорій політики)</w:t>
      </w:r>
      <w:r w:rsidR="00C24E38" w:rsidRPr="00F25773">
        <w:rPr>
          <w:rFonts w:ascii="Times New Roman" w:hAnsi="Times New Roman"/>
        </w:rPr>
        <w:t xml:space="preserve"> з відповідними ваговими коефіцієнтами</w:t>
      </w:r>
      <w:r w:rsidR="00063BBB" w:rsidRPr="00F25773">
        <w:rPr>
          <w:rFonts w:ascii="Times New Roman" w:hAnsi="Times New Roman"/>
        </w:rPr>
        <w:t>:</w:t>
      </w:r>
    </w:p>
    <w:p w14:paraId="1C4FCDB8" w14:textId="77777777" w:rsidR="00F25773" w:rsidRDefault="00063BBB" w:rsidP="00A95F14">
      <w:pPr>
        <w:pStyle w:val="a0"/>
        <w:numPr>
          <w:ilvl w:val="2"/>
          <w:numId w:val="38"/>
        </w:numPr>
        <w:spacing w:before="0" w:after="0" w:line="276" w:lineRule="auto"/>
        <w:ind w:left="567" w:firstLine="567"/>
        <w:rPr>
          <w:rFonts w:ascii="Times New Roman" w:hAnsi="Times New Roman"/>
        </w:rPr>
      </w:pPr>
      <w:r w:rsidRPr="00F25773">
        <w:rPr>
          <w:rFonts w:ascii="Times New Roman" w:hAnsi="Times New Roman"/>
        </w:rPr>
        <w:t xml:space="preserve"> конкурентоспроможність освітньої про</w:t>
      </w:r>
      <w:r w:rsidRPr="009C4F88">
        <w:rPr>
          <w:rFonts w:ascii="Times New Roman" w:hAnsi="Times New Roman"/>
        </w:rPr>
        <w:t xml:space="preserve">грами; </w:t>
      </w:r>
    </w:p>
    <w:p w14:paraId="2D5C84AF" w14:textId="77777777" w:rsidR="00F25773" w:rsidRDefault="00063BBB" w:rsidP="00A95F14">
      <w:pPr>
        <w:pStyle w:val="a0"/>
        <w:numPr>
          <w:ilvl w:val="2"/>
          <w:numId w:val="38"/>
        </w:numPr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людські ресурси; </w:t>
      </w:r>
    </w:p>
    <w:p w14:paraId="743D6658" w14:textId="77777777" w:rsidR="00F25773" w:rsidRDefault="00063BBB" w:rsidP="00A95F14">
      <w:pPr>
        <w:pStyle w:val="a0"/>
        <w:numPr>
          <w:ilvl w:val="2"/>
          <w:numId w:val="38"/>
        </w:numPr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науково-інноваційна діяльність; </w:t>
      </w:r>
    </w:p>
    <w:p w14:paraId="09C6C953" w14:textId="77777777" w:rsidR="00F25773" w:rsidRDefault="00063BBB" w:rsidP="00A95F14">
      <w:pPr>
        <w:pStyle w:val="a0"/>
        <w:numPr>
          <w:ilvl w:val="2"/>
          <w:numId w:val="38"/>
        </w:numPr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lastRenderedPageBreak/>
        <w:t>інформаційна активність, прозорість</w:t>
      </w:r>
      <w:r w:rsidR="00380D50" w:rsidRPr="009C4F88">
        <w:rPr>
          <w:rFonts w:ascii="Times New Roman" w:hAnsi="Times New Roman"/>
        </w:rPr>
        <w:t xml:space="preserve"> та</w:t>
      </w:r>
      <w:r w:rsidRPr="009C4F88">
        <w:rPr>
          <w:rFonts w:ascii="Times New Roman" w:hAnsi="Times New Roman"/>
        </w:rPr>
        <w:t xml:space="preserve"> академічна доброчесність; </w:t>
      </w:r>
    </w:p>
    <w:p w14:paraId="135F0C45" w14:textId="77777777" w:rsidR="00F25773" w:rsidRDefault="00063BBB" w:rsidP="00A95F14">
      <w:pPr>
        <w:pStyle w:val="a0"/>
        <w:numPr>
          <w:ilvl w:val="2"/>
          <w:numId w:val="38"/>
        </w:numPr>
        <w:spacing w:before="0" w:after="0" w:line="276" w:lineRule="auto"/>
        <w:ind w:left="567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взаємодія </w:t>
      </w:r>
      <w:r w:rsidR="00E26484" w:rsidRPr="009C4F88">
        <w:rPr>
          <w:rFonts w:ascii="Times New Roman" w:hAnsi="Times New Roman"/>
        </w:rPr>
        <w:t>зі стейкхолдерами</w:t>
      </w:r>
      <w:r w:rsidR="000944DE">
        <w:rPr>
          <w:rFonts w:ascii="Times New Roman" w:hAnsi="Times New Roman"/>
        </w:rPr>
        <w:t xml:space="preserve">; </w:t>
      </w:r>
    </w:p>
    <w:p w14:paraId="55B8E56A" w14:textId="2A261E24" w:rsidR="00063BBB" w:rsidRPr="009C4F88" w:rsidRDefault="000944DE" w:rsidP="00A95F14">
      <w:pPr>
        <w:pStyle w:val="a0"/>
        <w:numPr>
          <w:ilvl w:val="2"/>
          <w:numId w:val="38"/>
        </w:numPr>
        <w:spacing w:before="0" w:after="0" w:line="276" w:lineRule="auto"/>
        <w:ind w:left="567" w:firstLine="567"/>
        <w:rPr>
          <w:rFonts w:ascii="Times New Roman" w:hAnsi="Times New Roman"/>
        </w:rPr>
      </w:pPr>
      <w:r>
        <w:rPr>
          <w:rFonts w:ascii="Times New Roman" w:hAnsi="Times New Roman"/>
        </w:rPr>
        <w:t>якість контингенту.</w:t>
      </w:r>
    </w:p>
    <w:p w14:paraId="6D9E61DB" w14:textId="1804B6CE" w:rsidR="00D8599C" w:rsidRPr="009C4F88" w:rsidRDefault="00D8599C" w:rsidP="00A95F14">
      <w:pPr>
        <w:pStyle w:val="a0"/>
        <w:numPr>
          <w:ilvl w:val="1"/>
          <w:numId w:val="38"/>
        </w:numPr>
        <w:tabs>
          <w:tab w:val="left" w:pos="1134"/>
        </w:tabs>
        <w:spacing w:before="0" w:after="0" w:line="276" w:lineRule="auto"/>
        <w:ind w:left="0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 </w:t>
      </w:r>
      <w:r w:rsidR="00C24E38" w:rsidRPr="009C4F88">
        <w:rPr>
          <w:rFonts w:ascii="Times New Roman" w:hAnsi="Times New Roman"/>
        </w:rPr>
        <w:t>К</w:t>
      </w:r>
      <w:r w:rsidR="00063BBB" w:rsidRPr="009C4F88">
        <w:rPr>
          <w:rFonts w:ascii="Times New Roman" w:hAnsi="Times New Roman"/>
        </w:rPr>
        <w:t xml:space="preserve">ожна з категорій політики має </w:t>
      </w:r>
      <w:r w:rsidR="00C24E38" w:rsidRPr="009C4F88">
        <w:rPr>
          <w:rFonts w:ascii="Times New Roman" w:hAnsi="Times New Roman"/>
        </w:rPr>
        <w:t>набір індикаторів з відповідними ваговими коефіцієнтами</w:t>
      </w:r>
      <w:r w:rsidR="000944DE">
        <w:rPr>
          <w:rFonts w:ascii="Times New Roman" w:hAnsi="Times New Roman"/>
        </w:rPr>
        <w:t>.</w:t>
      </w:r>
    </w:p>
    <w:p w14:paraId="6865FDFF" w14:textId="6BDABDF8" w:rsidR="00C24E38" w:rsidRPr="009C4F88" w:rsidRDefault="00C24E38" w:rsidP="00C97053">
      <w:pPr>
        <w:pStyle w:val="a0"/>
        <w:numPr>
          <w:ilvl w:val="1"/>
          <w:numId w:val="38"/>
        </w:numPr>
        <w:spacing w:before="0" w:after="0" w:line="276" w:lineRule="auto"/>
        <w:ind w:left="0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Кожний індикатор поєднує у собі </w:t>
      </w:r>
      <w:r w:rsidRPr="00F25773">
        <w:rPr>
          <w:rFonts w:ascii="Times New Roman" w:hAnsi="Times New Roman"/>
        </w:rPr>
        <w:t>певний набір даних</w:t>
      </w:r>
      <w:r w:rsidR="001D4F1E" w:rsidRPr="00F25773">
        <w:rPr>
          <w:rFonts w:ascii="Times New Roman" w:hAnsi="Times New Roman"/>
        </w:rPr>
        <w:t xml:space="preserve"> </w:t>
      </w:r>
      <w:r w:rsidR="001D4F1E" w:rsidRPr="009C4F88">
        <w:rPr>
          <w:rFonts w:ascii="Times New Roman" w:hAnsi="Times New Roman"/>
        </w:rPr>
        <w:t>з відповідними ваговими коефіцієнтами</w:t>
      </w:r>
      <w:r w:rsidRPr="009C4F88">
        <w:rPr>
          <w:rFonts w:ascii="Times New Roman" w:hAnsi="Times New Roman"/>
        </w:rPr>
        <w:t xml:space="preserve"> </w:t>
      </w:r>
      <w:r w:rsidR="00D62558" w:rsidRPr="009C4F88">
        <w:rPr>
          <w:rFonts w:ascii="Times New Roman" w:hAnsi="Times New Roman"/>
        </w:rPr>
        <w:t>наведеними у Додатках 1 та 2</w:t>
      </w:r>
      <w:r w:rsidR="00C97053">
        <w:rPr>
          <w:rFonts w:ascii="Times New Roman" w:hAnsi="Times New Roman"/>
        </w:rPr>
        <w:t xml:space="preserve"> до цього Положення</w:t>
      </w:r>
      <w:r w:rsidRPr="009C4F88">
        <w:rPr>
          <w:rFonts w:ascii="Times New Roman" w:hAnsi="Times New Roman"/>
        </w:rPr>
        <w:t>.</w:t>
      </w:r>
    </w:p>
    <w:p w14:paraId="6A69C887" w14:textId="2959DD96" w:rsidR="00F03A25" w:rsidRPr="009C4F88" w:rsidRDefault="001D4F1E" w:rsidP="00C97053">
      <w:pPr>
        <w:pStyle w:val="a0"/>
        <w:numPr>
          <w:ilvl w:val="1"/>
          <w:numId w:val="38"/>
        </w:numPr>
        <w:spacing w:before="0" w:after="0" w:line="276" w:lineRule="auto"/>
        <w:ind w:left="0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 xml:space="preserve">Сума вагових коефіцієнтів </w:t>
      </w:r>
      <w:r w:rsidR="00C97053">
        <w:rPr>
          <w:rFonts w:ascii="Times New Roman" w:hAnsi="Times New Roman"/>
        </w:rPr>
        <w:t>по</w:t>
      </w:r>
      <w:r w:rsidRPr="009C4F88">
        <w:rPr>
          <w:rFonts w:ascii="Times New Roman" w:hAnsi="Times New Roman"/>
        </w:rPr>
        <w:t xml:space="preserve"> кожному </w:t>
      </w:r>
      <w:r w:rsidR="00F25773">
        <w:rPr>
          <w:rFonts w:ascii="Times New Roman" w:hAnsi="Times New Roman"/>
        </w:rPr>
        <w:t>індикатору</w:t>
      </w:r>
      <w:r w:rsidRPr="009C4F88">
        <w:rPr>
          <w:rFonts w:ascii="Times New Roman" w:hAnsi="Times New Roman"/>
        </w:rPr>
        <w:t xml:space="preserve"> дорівнює 1.</w:t>
      </w:r>
    </w:p>
    <w:p w14:paraId="69AC5AFA" w14:textId="794757D0" w:rsidR="006551E9" w:rsidRDefault="006551E9" w:rsidP="00C97053">
      <w:pPr>
        <w:pStyle w:val="a0"/>
        <w:numPr>
          <w:ilvl w:val="1"/>
          <w:numId w:val="38"/>
        </w:numPr>
        <w:spacing w:before="0" w:after="0" w:line="276" w:lineRule="auto"/>
        <w:ind w:left="0" w:firstLine="567"/>
        <w:rPr>
          <w:rFonts w:ascii="Times New Roman" w:hAnsi="Times New Roman"/>
        </w:rPr>
      </w:pPr>
      <w:r w:rsidRPr="009C4F88">
        <w:rPr>
          <w:rFonts w:ascii="Times New Roman" w:hAnsi="Times New Roman"/>
        </w:rPr>
        <w:t>Рейтинг підрозділу визначається відповідно до значення інтегрального показника діяльності підрозділу (ІП), який обчислюється, як сума відповідних значень за кожною з категорій політики.</w:t>
      </w:r>
    </w:p>
    <w:p w14:paraId="53790614" w14:textId="01048870" w:rsidR="00A063BD" w:rsidRDefault="00A063BD" w:rsidP="00A063BD">
      <w:pPr>
        <w:pStyle w:val="a0"/>
        <w:numPr>
          <w:ilvl w:val="1"/>
          <w:numId w:val="38"/>
        </w:numPr>
        <w:spacing w:before="0" w:after="0" w:line="276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9C4F88">
        <w:rPr>
          <w:rFonts w:ascii="Times New Roman" w:hAnsi="Times New Roman"/>
        </w:rPr>
        <w:t xml:space="preserve">ейтинг факультету/навчально-наукового інституту </w:t>
      </w:r>
      <w:r>
        <w:rPr>
          <w:rFonts w:ascii="Times New Roman" w:hAnsi="Times New Roman"/>
        </w:rPr>
        <w:t>визначається як середнє арифметичне рейтингів кафедр.</w:t>
      </w:r>
    </w:p>
    <w:p w14:paraId="4B9F6653" w14:textId="53A6D503" w:rsidR="00201DFD" w:rsidRPr="00A063BD" w:rsidRDefault="00201DFD" w:rsidP="00A063BD">
      <w:pPr>
        <w:pStyle w:val="a0"/>
        <w:numPr>
          <w:ilvl w:val="1"/>
          <w:numId w:val="38"/>
        </w:numPr>
        <w:spacing w:before="0" w:after="0" w:line="276" w:lineRule="auto"/>
        <w:ind w:left="0" w:firstLine="567"/>
        <w:rPr>
          <w:rFonts w:ascii="Times New Roman" w:hAnsi="Times New Roman"/>
        </w:rPr>
      </w:pPr>
      <w:r w:rsidRPr="00A063BD">
        <w:rPr>
          <w:rFonts w:ascii="Times New Roman" w:hAnsi="Times New Roman"/>
        </w:rPr>
        <w:t>Набори даних для визначення рейтингу факультету/навчально-наукового інституту наведено у Додатку 3</w:t>
      </w:r>
      <w:r w:rsidR="00A063BD">
        <w:rPr>
          <w:rFonts w:ascii="Times New Roman" w:hAnsi="Times New Roman"/>
        </w:rPr>
        <w:t xml:space="preserve"> до цього Положення.</w:t>
      </w:r>
    </w:p>
    <w:p w14:paraId="25689626" w14:textId="77777777" w:rsidR="00201DFD" w:rsidRPr="00721FB0" w:rsidRDefault="00201DFD" w:rsidP="00B3780A">
      <w:pPr>
        <w:pStyle w:val="a0"/>
        <w:numPr>
          <w:ilvl w:val="0"/>
          <w:numId w:val="0"/>
        </w:numPr>
        <w:spacing w:before="0" w:after="0" w:line="276" w:lineRule="auto"/>
        <w:ind w:left="1288" w:hanging="720"/>
        <w:rPr>
          <w:rFonts w:ascii="Times New Roman" w:hAnsi="Times New Roman"/>
          <w:lang w:val="ru-RU"/>
        </w:rPr>
      </w:pPr>
    </w:p>
    <w:p w14:paraId="3D255598" w14:textId="77777777" w:rsidR="00201DFD" w:rsidRPr="009C4F88" w:rsidRDefault="00201DFD" w:rsidP="00B3780A">
      <w:pPr>
        <w:pStyle w:val="10"/>
        <w:numPr>
          <w:ilvl w:val="0"/>
          <w:numId w:val="14"/>
        </w:numPr>
        <w:spacing w:before="0" w:after="0" w:line="276" w:lineRule="auto"/>
        <w:rPr>
          <w:rFonts w:ascii="Times New Roman" w:hAnsi="Times New Roman"/>
        </w:rPr>
      </w:pPr>
      <w:r w:rsidRPr="009C4F88">
        <w:rPr>
          <w:rFonts w:ascii="Times New Roman" w:hAnsi="Times New Roman"/>
        </w:rPr>
        <w:t>ПРИКІНЦЕВІ ПОЛОЖЕННЯ</w:t>
      </w:r>
    </w:p>
    <w:p w14:paraId="7AC540E3" w14:textId="6A91DAFC" w:rsidR="00CE45E5" w:rsidRDefault="00201DFD" w:rsidP="00B3780A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9C4F88">
        <w:rPr>
          <w:rFonts w:ascii="Times New Roman" w:hAnsi="Times New Roman"/>
        </w:rPr>
        <w:t>Набори даних</w:t>
      </w:r>
      <w:r w:rsidR="00CE45E5">
        <w:rPr>
          <w:rFonts w:ascii="Times New Roman" w:hAnsi="Times New Roman"/>
        </w:rPr>
        <w:t xml:space="preserve">, що застосовуються для рейтингування </w:t>
      </w:r>
      <w:r w:rsidR="00E245D2">
        <w:rPr>
          <w:rFonts w:ascii="Times New Roman" w:hAnsi="Times New Roman"/>
        </w:rPr>
        <w:t>навчальних підрозділів</w:t>
      </w:r>
      <w:r w:rsidR="00CE45E5">
        <w:rPr>
          <w:rFonts w:ascii="Times New Roman" w:hAnsi="Times New Roman"/>
        </w:rPr>
        <w:t xml:space="preserve"> </w:t>
      </w:r>
      <w:r w:rsidRPr="009C4F88">
        <w:rPr>
          <w:rFonts w:ascii="Times New Roman" w:hAnsi="Times New Roman"/>
        </w:rPr>
        <w:t>щорічно переглядаються</w:t>
      </w:r>
      <w:r w:rsidR="00CE45E5">
        <w:rPr>
          <w:rFonts w:ascii="Times New Roman" w:hAnsi="Times New Roman"/>
        </w:rPr>
        <w:t xml:space="preserve"> та доводяться до відома </w:t>
      </w:r>
      <w:r w:rsidR="00E245D2">
        <w:rPr>
          <w:rFonts w:ascii="Times New Roman" w:hAnsi="Times New Roman"/>
        </w:rPr>
        <w:t xml:space="preserve">їх керівників </w:t>
      </w:r>
      <w:r w:rsidR="00CE45E5">
        <w:rPr>
          <w:rFonts w:ascii="Times New Roman" w:hAnsi="Times New Roman"/>
        </w:rPr>
        <w:t xml:space="preserve">не пізніше ніж  за </w:t>
      </w:r>
      <w:r w:rsidR="00E245D2">
        <w:rPr>
          <w:rFonts w:ascii="Times New Roman" w:hAnsi="Times New Roman"/>
        </w:rPr>
        <w:t>2</w:t>
      </w:r>
      <w:r w:rsidR="00CE45E5">
        <w:rPr>
          <w:rFonts w:ascii="Times New Roman" w:hAnsi="Times New Roman"/>
        </w:rPr>
        <w:t xml:space="preserve"> місяці до проведення рейтингування.</w:t>
      </w:r>
    </w:p>
    <w:p w14:paraId="2E61E9C4" w14:textId="77777777" w:rsidR="00C45725" w:rsidRDefault="00CE45E5" w:rsidP="00C45725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Набори даних, методика оцінювання </w:t>
      </w:r>
      <w:r w:rsidR="00201DFD" w:rsidRPr="009C4F88">
        <w:rPr>
          <w:rFonts w:ascii="Times New Roman" w:hAnsi="Times New Roman"/>
        </w:rPr>
        <w:t>обговорюються на Методичній</w:t>
      </w:r>
      <w:r w:rsidR="009C1614">
        <w:rPr>
          <w:rFonts w:ascii="Times New Roman" w:hAnsi="Times New Roman"/>
        </w:rPr>
        <w:t xml:space="preserve"> та/або Вченій</w:t>
      </w:r>
      <w:r w:rsidR="00201DFD" w:rsidRPr="009C4F88">
        <w:rPr>
          <w:rFonts w:ascii="Times New Roman" w:hAnsi="Times New Roman"/>
        </w:rPr>
        <w:t xml:space="preserve"> раді Університет</w:t>
      </w:r>
      <w:r w:rsidR="00317286">
        <w:rPr>
          <w:rFonts w:ascii="Times New Roman" w:hAnsi="Times New Roman"/>
        </w:rPr>
        <w:t>у</w:t>
      </w:r>
      <w:r>
        <w:rPr>
          <w:rFonts w:ascii="Times New Roman" w:hAnsi="Times New Roman"/>
        </w:rPr>
        <w:t>, та вводяться в дію наказом ректора.</w:t>
      </w:r>
    </w:p>
    <w:p w14:paraId="2E4392A6" w14:textId="6CDE7CAD" w:rsidR="00C45725" w:rsidRPr="00C45725" w:rsidRDefault="00201DFD" w:rsidP="00C45725">
      <w:pPr>
        <w:pStyle w:val="a0"/>
        <w:spacing w:before="0" w:after="0" w:line="276" w:lineRule="auto"/>
        <w:ind w:left="0" w:firstLine="568"/>
        <w:rPr>
          <w:rFonts w:ascii="Times New Roman" w:hAnsi="Times New Roman"/>
        </w:rPr>
      </w:pPr>
      <w:r w:rsidRPr="00C45725">
        <w:rPr>
          <w:rFonts w:ascii="Times New Roman" w:hAnsi="Times New Roman"/>
        </w:rPr>
        <w:t xml:space="preserve">Результати рейтингування підрозділів </w:t>
      </w:r>
      <w:r w:rsidR="00317286" w:rsidRPr="00C45725">
        <w:rPr>
          <w:rFonts w:ascii="Times New Roman" w:hAnsi="Times New Roman"/>
        </w:rPr>
        <w:t>доводяться до відома завідувачів кафедр, деканів</w:t>
      </w:r>
      <w:r w:rsidR="00891391" w:rsidRPr="00C45725">
        <w:rPr>
          <w:rFonts w:ascii="Times New Roman" w:hAnsi="Times New Roman"/>
        </w:rPr>
        <w:t xml:space="preserve"> факультетів</w:t>
      </w:r>
      <w:r w:rsidR="00317286" w:rsidRPr="00C45725">
        <w:rPr>
          <w:rFonts w:ascii="Times New Roman" w:hAnsi="Times New Roman"/>
        </w:rPr>
        <w:t>/ директорів</w:t>
      </w:r>
      <w:r w:rsidR="00891391" w:rsidRPr="00C45725">
        <w:rPr>
          <w:rFonts w:ascii="Times New Roman" w:hAnsi="Times New Roman"/>
        </w:rPr>
        <w:t xml:space="preserve"> навчально-наукових інститутів</w:t>
      </w:r>
      <w:r w:rsidR="00317286" w:rsidRPr="00C45725">
        <w:rPr>
          <w:rFonts w:ascii="Times New Roman" w:hAnsi="Times New Roman"/>
        </w:rPr>
        <w:t xml:space="preserve">, </w:t>
      </w:r>
      <w:r w:rsidRPr="00C45725">
        <w:rPr>
          <w:rFonts w:ascii="Times New Roman" w:hAnsi="Times New Roman"/>
        </w:rPr>
        <w:t>обговорюються на засіданні Вченої та Методичної рад Університету й оприлюдню</w:t>
      </w:r>
      <w:r w:rsidR="000944DE" w:rsidRPr="00C45725">
        <w:rPr>
          <w:rFonts w:ascii="Times New Roman" w:hAnsi="Times New Roman"/>
        </w:rPr>
        <w:t>ються на інформаційних ресурсах</w:t>
      </w:r>
      <w:r w:rsidR="00DC1814" w:rsidRPr="00C45725">
        <w:rPr>
          <w:rFonts w:ascii="Times New Roman" w:hAnsi="Times New Roman"/>
        </w:rPr>
        <w:t xml:space="preserve"> </w:t>
      </w:r>
      <w:r w:rsidRPr="00C45725">
        <w:rPr>
          <w:rFonts w:ascii="Times New Roman" w:hAnsi="Times New Roman"/>
        </w:rPr>
        <w:t>У</w:t>
      </w:r>
      <w:r w:rsidR="00E53B3C" w:rsidRPr="00C45725">
        <w:rPr>
          <w:rFonts w:ascii="Times New Roman" w:hAnsi="Times New Roman"/>
        </w:rPr>
        <w:t>ніверситету.</w:t>
      </w:r>
    </w:p>
    <w:p w14:paraId="5FACEA18" w14:textId="77777777" w:rsidR="00C45725" w:rsidRDefault="00C45725" w:rsidP="00C45725">
      <w:pPr>
        <w:pStyle w:val="a0"/>
        <w:numPr>
          <w:ilvl w:val="0"/>
          <w:numId w:val="0"/>
        </w:numPr>
        <w:spacing w:before="0" w:after="0" w:line="276" w:lineRule="auto"/>
        <w:ind w:left="1288" w:hanging="720"/>
        <w:rPr>
          <w:rFonts w:ascii="Times New Roman" w:hAnsi="Times New Roman"/>
        </w:rPr>
      </w:pPr>
    </w:p>
    <w:p w14:paraId="6BF9021E" w14:textId="77777777" w:rsidR="00E53B3C" w:rsidRPr="00C45725" w:rsidRDefault="00E53B3C" w:rsidP="00C45725">
      <w:pPr>
        <w:pStyle w:val="a0"/>
        <w:numPr>
          <w:ilvl w:val="0"/>
          <w:numId w:val="0"/>
        </w:numPr>
        <w:spacing w:before="0" w:after="0" w:line="276" w:lineRule="auto"/>
        <w:ind w:left="568"/>
        <w:rPr>
          <w:rFonts w:ascii="Times New Roman" w:hAnsi="Times New Roman"/>
        </w:rPr>
        <w:sectPr w:rsidR="00E53B3C" w:rsidRPr="00C45725" w:rsidSect="00C97053">
          <w:headerReference w:type="even" r:id="rId9"/>
          <w:footerReference w:type="default" r:id="rId10"/>
          <w:footerReference w:type="first" r:id="rId11"/>
          <w:endnotePr>
            <w:numFmt w:val="chicago"/>
          </w:endnotePr>
          <w:pgSz w:w="11906" w:h="16838" w:code="9"/>
          <w:pgMar w:top="851" w:right="851" w:bottom="993" w:left="1134" w:header="709" w:footer="391" w:gutter="0"/>
          <w:cols w:space="720"/>
          <w:noEndnote/>
          <w:titlePg/>
          <w:docGrid w:linePitch="354"/>
        </w:sectPr>
      </w:pPr>
    </w:p>
    <w:tbl>
      <w:tblPr>
        <w:tblpPr w:leftFromText="180" w:rightFromText="180" w:vertAnchor="page" w:horzAnchor="margin" w:tblpY="689"/>
        <w:tblW w:w="15134" w:type="dxa"/>
        <w:tblLayout w:type="fixed"/>
        <w:tblLook w:val="04A0" w:firstRow="1" w:lastRow="0" w:firstColumn="1" w:lastColumn="0" w:noHBand="0" w:noVBand="1"/>
      </w:tblPr>
      <w:tblGrid>
        <w:gridCol w:w="3119"/>
        <w:gridCol w:w="1098"/>
        <w:gridCol w:w="2126"/>
        <w:gridCol w:w="1312"/>
        <w:gridCol w:w="5494"/>
        <w:gridCol w:w="1985"/>
      </w:tblGrid>
      <w:tr w:rsidR="00C45725" w:rsidRPr="00C45725" w14:paraId="20AF927F" w14:textId="77777777" w:rsidTr="002E3045">
        <w:trPr>
          <w:trHeight w:val="5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F85C" w14:textId="77777777" w:rsidR="00C45725" w:rsidRPr="00C45725" w:rsidRDefault="00C45725" w:rsidP="00C45725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937A" w14:textId="77777777" w:rsidR="00C45725" w:rsidRPr="00C45725" w:rsidRDefault="00C45725" w:rsidP="00C4572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6FAE" w14:textId="77777777" w:rsidR="00C45725" w:rsidRPr="00C45725" w:rsidRDefault="00C45725" w:rsidP="00C45725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6789" w14:textId="77777777" w:rsidR="00C45725" w:rsidRPr="00C45725" w:rsidRDefault="00C45725" w:rsidP="00C45725"/>
        </w:tc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E063" w14:textId="77777777" w:rsidR="00C45725" w:rsidRPr="00C45725" w:rsidRDefault="00C45725" w:rsidP="00C45725">
            <w:pPr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Додаток 1</w:t>
            </w:r>
          </w:p>
          <w:p w14:paraId="24DF2C34" w14:textId="77777777" w:rsidR="00C45725" w:rsidRPr="00C45725" w:rsidRDefault="00C45725" w:rsidP="00C4572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Положення про систему рейтингування підрозділів за показниками діяльності (профілі)</w:t>
            </w:r>
          </w:p>
        </w:tc>
      </w:tr>
      <w:tr w:rsidR="00C45725" w:rsidRPr="00C45725" w14:paraId="63A63778" w14:textId="77777777" w:rsidTr="002E3045">
        <w:trPr>
          <w:trHeight w:val="54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D02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Показники діяльності (профілі) випускових кафедр</w:t>
            </w:r>
          </w:p>
        </w:tc>
      </w:tr>
      <w:tr w:rsidR="00C45725" w:rsidRPr="00C45725" w14:paraId="468FEC46" w14:textId="77777777" w:rsidTr="002E3045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F0B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Категорії політики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EC4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Вагові </w:t>
            </w:r>
            <w:proofErr w:type="spellStart"/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коефі-цієнти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6DF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Індикатори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ED0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Вагові </w:t>
            </w:r>
            <w:proofErr w:type="spellStart"/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коефі-цієнти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243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Набори даних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64A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Розпорядник </w:t>
            </w:r>
          </w:p>
          <w:p w14:paraId="6C16ED0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даних</w:t>
            </w:r>
          </w:p>
        </w:tc>
      </w:tr>
      <w:tr w:rsidR="00C45725" w:rsidRPr="00C45725" w14:paraId="02A3C7BE" w14:textId="77777777" w:rsidTr="002E3045">
        <w:trPr>
          <w:trHeight w:val="30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1A682541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69F0B4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43E4D0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ADB49C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F6B597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Конкурентоспроможність освітньої програми </w:t>
            </w:r>
            <w:r w:rsidRPr="00C45725">
              <w:rPr>
                <w:rFonts w:ascii="Times New Roman" w:hAnsi="Times New Roman"/>
                <w:i/>
                <w:sz w:val="28"/>
                <w:szCs w:val="28"/>
              </w:rPr>
              <w:t>0,2</w:t>
            </w:r>
          </w:p>
          <w:p w14:paraId="3BA1486F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64975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0,35</w:t>
            </w:r>
          </w:p>
          <w:p w14:paraId="6F0F270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59B88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акредитації освітньої програми</w:t>
            </w:r>
          </w:p>
          <w:p w14:paraId="1409ADE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611EA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E0EAA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Наявність міжнародної акредитації ОП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97765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ДЯОП</w:t>
            </w:r>
          </w:p>
        </w:tc>
      </w:tr>
      <w:tr w:rsidR="00C45725" w:rsidRPr="00C45725" w14:paraId="291B1D87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2793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583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7AD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33E0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80B41D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внутрішньої акредитації (% виконання нормативних показників за результатами самоаналізу)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8AC7A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ДЯОП</w:t>
            </w:r>
          </w:p>
        </w:tc>
      </w:tr>
      <w:tr w:rsidR="00C45725" w:rsidRPr="00C45725" w14:paraId="6F4AAAB1" w14:textId="77777777" w:rsidTr="002E3045">
        <w:trPr>
          <w:trHeight w:val="39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88A2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BAC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414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D07BB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25E02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Оцінка акредитації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155AD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ДЯОП</w:t>
            </w:r>
          </w:p>
        </w:tc>
      </w:tr>
      <w:tr w:rsidR="00C45725" w:rsidRPr="00C45725" w14:paraId="4D8819DD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3382C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0EAAC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14:paraId="6CBB6AD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FF8BC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освітнього контенту</w:t>
            </w:r>
          </w:p>
          <w:p w14:paraId="22A350D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618E2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96D7D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Відношення кількості виданих підручників до кількості штатних одиниць НПП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E3282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49BEC58F" w14:textId="77777777" w:rsidTr="002E3045">
        <w:trPr>
          <w:trHeight w:val="34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507E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1F5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86A7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998F0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1101F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Відношення кількості виданих навчальних посібників до кількості штатних одиниць НПП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86502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5AB40E8C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DD86A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542FB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14:paraId="26B6D40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F0B68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Індикатор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</w:p>
          <w:p w14:paraId="03975CC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CEB17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7B933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Оцінка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очима роботодавців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CAEB5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49F1D15E" w14:textId="77777777" w:rsidTr="002E3045">
        <w:trPr>
          <w:trHeight w:val="3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9F00C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A08D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002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1D14E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B81DAF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Оцінка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очима студентів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57CA1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7637667F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F9CF4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919F3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14:paraId="4B97268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ADDF9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Індикатор фахової підготовки (hard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9674F7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60572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FB7C98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Оцінка підготовки за фахом очима студентів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E7AF2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3CB3286A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6415B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DA6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2E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2E8B9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AD21F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Оцінка роботодавцями підготовки за фахом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FD47A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54E4B416" w14:textId="77777777" w:rsidTr="002E3045">
        <w:trPr>
          <w:trHeight w:val="5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2345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B7AD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728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CE0E0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FCC14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залишкових знань (ректорський контроль)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8F134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ІМЯО</w:t>
            </w:r>
          </w:p>
        </w:tc>
      </w:tr>
      <w:tr w:rsidR="00C45725" w:rsidRPr="00C45725" w14:paraId="283C9F05" w14:textId="77777777" w:rsidTr="002E3045">
        <w:trPr>
          <w:trHeight w:val="83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D8988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F2029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14:paraId="5C595E8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8D13F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432B1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Оцінка освітньої інфраструктури</w:t>
            </w:r>
          </w:p>
          <w:p w14:paraId="11D9EFA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B6D4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2CED1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Задоволеність студентами матеріально-технічною базою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8FE47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1F7CC068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D4AF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093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69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115B1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E0E0A5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Оцінка співробітниками стану навчально-лабораторної бази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16D88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51892405" w14:textId="77777777" w:rsidTr="002E3045">
        <w:trPr>
          <w:trHeight w:val="50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E0CD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6FF47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01667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забезпечення англомовних програм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C4039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CBCD4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англомовних освітніх програм (ОП), які забезпечує кафедра до загальної кількості ОП, що забезпечує кафедра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8F8AB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  <w:p w14:paraId="1CC876F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725" w:rsidRPr="00C45725" w14:paraId="22653D31" w14:textId="77777777" w:rsidTr="002E3045">
        <w:trPr>
          <w:trHeight w:val="104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7AD6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05381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45B01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забезпечення дистанційної освіти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81EF4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C526C0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розміщених курсів на платформі Сікорський до загальної кількості освітніх компонентів, що забезпечує кафедра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6C50D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ДООП, УІІТ</w:t>
            </w:r>
          </w:p>
        </w:tc>
      </w:tr>
      <w:tr w:rsidR="00C45725" w:rsidRPr="00C45725" w14:paraId="0B7F6C14" w14:textId="77777777" w:rsidTr="002E3045">
        <w:trPr>
          <w:trHeight w:val="30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0E93D6C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E609B0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0E7A48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75F1BA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     Людські ресурси </w:t>
            </w:r>
            <w:r w:rsidRPr="00C45725">
              <w:rPr>
                <w:rFonts w:ascii="Times New Roman" w:hAnsi="Times New Roman"/>
                <w:i/>
                <w:sz w:val="28"/>
                <w:szCs w:val="28"/>
              </w:rPr>
              <w:t>0,2</w:t>
            </w:r>
          </w:p>
          <w:p w14:paraId="4FC730A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14:paraId="27A3615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14:paraId="41D9660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14:paraId="4C2BC8D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5106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якості кадрового забезпечення освітньої програми</w:t>
            </w:r>
          </w:p>
          <w:p w14:paraId="1113755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2898BB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C17751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Усереднена оцінка науково-педагогічних працівників (НПП) кафедри ("Викладач очима студентів") опитування з системи «Електронний кампус»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0B531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636C3303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031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1E9D8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DC85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44A8C8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FE5E0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Середній вік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6B035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ДУС (ВК)</w:t>
            </w:r>
          </w:p>
        </w:tc>
      </w:tr>
      <w:tr w:rsidR="00C45725" w:rsidRPr="00C45725" w14:paraId="319C3F5E" w14:textId="77777777" w:rsidTr="002E3045">
        <w:trPr>
          <w:trHeight w:val="129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77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AA5D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8B8E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00DACF7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6554BAC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Відношення НПП з науковим ступенем до загальної кількості НПП кафедри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7E8E3BE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ДУС (ВК)</w:t>
            </w:r>
          </w:p>
        </w:tc>
      </w:tr>
      <w:tr w:rsidR="00C45725" w:rsidRPr="00C45725" w14:paraId="3E4EB343" w14:textId="77777777" w:rsidTr="002E3045">
        <w:trPr>
          <w:trHeight w:val="6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D32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BC55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DD24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739A2F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2D08FC" w14:textId="77777777" w:rsidR="00C45725" w:rsidRPr="00C45725" w:rsidRDefault="00C45725" w:rsidP="00C45725">
            <w:pPr>
              <w:rPr>
                <w:rFonts w:ascii="Times New Roman" w:hAnsi="Times New Roman"/>
                <w:b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Відносна кількість НПП, які виконують обов'язки голови або члена редколегії фахових видань, /періодичних видань, що індексуються в базах Scopus або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до загальної кількості НПП кафедри</w:t>
            </w:r>
            <w:r w:rsidRPr="00C4572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BE9B0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1C9FD9D6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E90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AB92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FD2B3C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2708D9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2F3B550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НПП з вченим званням до загальної кількості 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7F9C6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ДУС (ВК)</w:t>
            </w:r>
          </w:p>
        </w:tc>
      </w:tr>
      <w:tr w:rsidR="00C45725" w:rsidRPr="00C45725" w14:paraId="72556FF6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A5F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1073B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33EBA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9E52E8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836D35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Наявність переможців конкурсу «Молодий викладач-дослідник»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A56E32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3F2099F7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91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F5AFB9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62FC5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676541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483E33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НПП, які мають сертифікат В2 з англійської мови, до загальної кількості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2AFD8E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Рейтинг НПП</w:t>
            </w:r>
          </w:p>
        </w:tc>
      </w:tr>
      <w:tr w:rsidR="00C45725" w:rsidRPr="00C45725" w14:paraId="6B84495D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B3A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81696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B4C23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E8BD49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6723B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Наявність іноземних НПП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0D2A15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ДУС (ВК)</w:t>
            </w:r>
          </w:p>
        </w:tc>
      </w:tr>
      <w:tr w:rsidR="00C45725" w:rsidRPr="00C45725" w14:paraId="5FB9BDE7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6EE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E4F0A3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14:paraId="39476F1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47EA00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CED78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підготовки наукових кадрів</w:t>
            </w:r>
          </w:p>
          <w:p w14:paraId="022E665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9185EA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6F45170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аспірантів до кількості докторів наук на кафедрі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5E5109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060863E4" w14:textId="77777777" w:rsidTr="002E3045">
        <w:trPr>
          <w:trHeight w:val="6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35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641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143A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431E16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8A1928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захистів докторських дисертацій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97EF1A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Відділ аспірантури</w:t>
            </w:r>
          </w:p>
        </w:tc>
      </w:tr>
      <w:tr w:rsidR="00C45725" w:rsidRPr="00C45725" w14:paraId="6A9799D6" w14:textId="77777777" w:rsidTr="002E3045">
        <w:trPr>
          <w:trHeight w:val="6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D05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2B8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05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10FA8B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0C94F0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захистів докторів філософії (кандидатських дисертацій)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5E984C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Відділ аспірантури</w:t>
            </w:r>
          </w:p>
        </w:tc>
      </w:tr>
      <w:tr w:rsidR="00C45725" w:rsidRPr="00C45725" w14:paraId="4A955D8E" w14:textId="77777777" w:rsidTr="002E3045">
        <w:trPr>
          <w:trHeight w:val="126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4F594E3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5DA2C0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399B3B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050D76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E23858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983E98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A610A7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D9C2CA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129D59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Науково-інноваційна діяльність </w:t>
            </w:r>
            <w:r w:rsidRPr="00C45725">
              <w:rPr>
                <w:rFonts w:ascii="Times New Roman" w:hAnsi="Times New Roman"/>
                <w:i/>
                <w:sz w:val="28"/>
                <w:szCs w:val="28"/>
              </w:rPr>
              <w:t>0,2</w:t>
            </w:r>
          </w:p>
          <w:p w14:paraId="072B0A45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935AF9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3B9EFCD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D579A8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D00AA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ефективності наукової діяльності</w:t>
            </w:r>
          </w:p>
          <w:p w14:paraId="3C34974F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89D7CD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CCB9827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надходжень від проведення фундаментальних, прикладних досліджень та розробок із загального фонду бюджету МОН, тис. грн. до кількості штатних одиниць за 1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998EBA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2D555F3C" w14:textId="77777777" w:rsidTr="002E3045">
        <w:trPr>
          <w:trHeight w:val="6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DC0A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421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A7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3EBD0C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8B605D7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надходжень  від проведення розробок і досліджень за заявками підприємств та організацій  тис. грн. до кількості штатних одиниць за 1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A0AD9E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2E991115" w14:textId="77777777" w:rsidTr="002E3045">
        <w:trPr>
          <w:trHeight w:val="6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A1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D1C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289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240275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232FF31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Відносна кількість надходжень від виконання робіт, що фінансуються міжнародними проєктно-грантовими </w:t>
            </w:r>
            <w:r w:rsidRPr="00C45725">
              <w:rPr>
                <w:rFonts w:ascii="Times New Roman" w:hAnsi="Times New Roman"/>
                <w:sz w:val="28"/>
                <w:szCs w:val="28"/>
              </w:rPr>
              <w:lastRenderedPageBreak/>
              <w:t>фондами (Горизонт Європа, Програма НАТО "Наука заради миру та безпеки" та інші) тис. грн. до кількості штатних одиниць за 1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974BD9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lastRenderedPageBreak/>
              <w:t>ДІТТ</w:t>
            </w:r>
          </w:p>
        </w:tc>
      </w:tr>
      <w:tr w:rsidR="00C45725" w:rsidRPr="00C45725" w14:paraId="7D2E65D5" w14:textId="77777777" w:rsidTr="002E3045">
        <w:trPr>
          <w:trHeight w:val="24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2F5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045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C6F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B1CC1A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93DDCB1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Відносна кількість поданих проєктів на конкурсі Sikorsky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challenge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5482E8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6DED560C" w14:textId="77777777" w:rsidTr="002E304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65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6FF185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0356652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47359F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результатив-ності наукової роботи</w:t>
            </w:r>
          </w:p>
          <w:p w14:paraId="784E450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6DBBB6A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55BD21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отриманих патентів на винахід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E9825C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172A916B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EAA4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F2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D26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59DE3E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53DCB4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Відносна кількість отриманих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свідоцтв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 xml:space="preserve"> авторського права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EABFD8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3AB003E4" w14:textId="77777777" w:rsidTr="002E3045">
        <w:trPr>
          <w:trHeight w:val="197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7A2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300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A04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71AFFC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14:paraId="71D2920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6386371" w14:textId="77777777" w:rsidR="00C45725" w:rsidRPr="00C45725" w:rsidRDefault="00C45725" w:rsidP="00C4572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доповідей на конференціях з публікацією матеріалів та опублікованих статей у виданнях, що входять до науково-метричних баз даних (НМБД) Scopus\Web of Science Core Collection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C4BC4B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  <w:p w14:paraId="71C5573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5725" w:rsidRPr="00C45725" w14:paraId="722058AA" w14:textId="77777777" w:rsidTr="002E3045">
        <w:trPr>
          <w:trHeight w:val="197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281C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6B5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EFC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5125F9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  <w:p w14:paraId="1CEA598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657A88C8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статей у фахових журналах категорії Б, що не індексуються базами Scopus та/або Web of Science  та/або участь у конференції з публікацією матеріалів, що не індексуються базами даних Scopus та/або Web of Science 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28DE459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386AD35B" w14:textId="77777777" w:rsidTr="002E3045">
        <w:trPr>
          <w:trHeight w:val="6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7568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F62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8BD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0C478A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C5455B5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Відносна кількість видань монографій, що опубліковані передовими міжнародними видавництвами (згідно додатку)  до кількості штатних одиниць НПП кафедри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A68FAD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5A4B4F94" w14:textId="77777777" w:rsidTr="002E3045">
        <w:trPr>
          <w:trHeight w:val="103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231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61A5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FDB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EAE0CD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62E302C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Відносна кількість видань монографій у інших видавництвах  до кількості штатних одиниць НПП кафедри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4FAF30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ДІТТ</w:t>
            </w:r>
          </w:p>
        </w:tc>
      </w:tr>
      <w:tr w:rsidR="00C45725" w:rsidRPr="00C45725" w14:paraId="212E47C7" w14:textId="77777777" w:rsidTr="002E3045">
        <w:trPr>
          <w:trHeight w:val="48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C56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8B5C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0FD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3C015D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B12295F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Усереднене значення цитованості публікацій НПП кафедри у НМБД Scopus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2CA2D0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НТБ</w:t>
            </w:r>
          </w:p>
        </w:tc>
      </w:tr>
      <w:tr w:rsidR="00C45725" w:rsidRPr="00C45725" w14:paraId="60A1AFED" w14:textId="77777777" w:rsidTr="002E3045">
        <w:trPr>
          <w:trHeight w:val="804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hideMark/>
          </w:tcPr>
          <w:p w14:paraId="078455C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DC159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34978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Інформаційна активність, прозорість та академічна доброчесність </w:t>
            </w:r>
            <w:r w:rsidRPr="00C45725">
              <w:rPr>
                <w:rFonts w:ascii="Times New Roman" w:hAnsi="Times New Roman"/>
                <w:i/>
                <w:sz w:val="28"/>
                <w:szCs w:val="28"/>
              </w:rPr>
              <w:t>0,1</w:t>
            </w:r>
          </w:p>
          <w:p w14:paraId="44A5B18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hideMark/>
          </w:tcPr>
          <w:p w14:paraId="2398EE60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14:paraId="3CFD9A4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hideMark/>
          </w:tcPr>
          <w:p w14:paraId="6814D24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активності в інформаційному просторі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01D5213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68678F1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активності в інформаційному просторі (сайт кафедри)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67E894C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ІМЯО</w:t>
            </w:r>
          </w:p>
        </w:tc>
      </w:tr>
      <w:tr w:rsidR="00C45725" w:rsidRPr="00C45725" w14:paraId="360AD200" w14:textId="77777777" w:rsidTr="002E3045">
        <w:trPr>
          <w:trHeight w:val="941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E6F21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16E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391DAD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5734235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063C312D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Показник активності в інформаційному просторі </w:t>
            </w:r>
            <w:proofErr w:type="spellStart"/>
            <w:r w:rsidRPr="00C45725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 w:rsidRPr="00C45725">
              <w:rPr>
                <w:rFonts w:ascii="Times New Roman" w:hAnsi="Times New Roman"/>
                <w:sz w:val="28"/>
                <w:szCs w:val="28"/>
              </w:rPr>
              <w:t>-сторінка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4E372EC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ІМЯО</w:t>
            </w:r>
          </w:p>
        </w:tc>
      </w:tr>
      <w:tr w:rsidR="00C45725" w:rsidRPr="00C45725" w14:paraId="07B033FA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2722F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7074425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14:paraId="372174F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hideMark/>
          </w:tcPr>
          <w:p w14:paraId="1992247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прозорості</w:t>
            </w:r>
          </w:p>
          <w:p w14:paraId="168CD9A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34874E1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45CA869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прозорості та наповнення контентом сайту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059A335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3D9F4F19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C6A71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93DF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069C6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46AB768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3AEE3790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англомовної сторінки кафедри</w:t>
            </w:r>
          </w:p>
          <w:p w14:paraId="5FD65D1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3DBE03A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7905EAAF" w14:textId="77777777" w:rsidTr="002E3045">
        <w:trPr>
          <w:trHeight w:val="30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AA50B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57E7662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14:paraId="6345DE2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0A69243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доброчесності</w:t>
            </w:r>
          </w:p>
          <w:p w14:paraId="7E9E15F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11BE488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4BF03C5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рівня корупції очима студентів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5A47369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03173A98" w14:textId="77777777" w:rsidTr="002E3045">
        <w:trPr>
          <w:trHeight w:val="110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0945B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61C4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6AA7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1BBC695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26217B2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Рівень ознайомлення студентів з політикою академічної доброчесності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6D7D82F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3DAE22AD" w14:textId="77777777" w:rsidTr="002E3045">
        <w:trPr>
          <w:trHeight w:val="6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D2F977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D347B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Взаємодія зі стейкхолдерами </w:t>
            </w:r>
            <w:r w:rsidRPr="00C45725">
              <w:rPr>
                <w:rFonts w:ascii="Times New Roman" w:hAnsi="Times New Roman"/>
                <w:i/>
                <w:sz w:val="28"/>
                <w:szCs w:val="28"/>
              </w:rPr>
              <w:t>0,15</w:t>
            </w:r>
          </w:p>
          <w:p w14:paraId="657315E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hideMark/>
          </w:tcPr>
          <w:p w14:paraId="0B1BA09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hideMark/>
          </w:tcPr>
          <w:p w14:paraId="3DEBEB96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активності взаємодії з роботодавцями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EB9BE9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6D0C227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моніторингу кар'єрних траєкторій випускників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1B5273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Соціоплюс</w:t>
            </w:r>
          </w:p>
        </w:tc>
      </w:tr>
      <w:tr w:rsidR="00C45725" w:rsidRPr="00C45725" w14:paraId="71988E7D" w14:textId="77777777" w:rsidTr="002E3045">
        <w:trPr>
          <w:trHeight w:val="6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5C751B7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13AA9AA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12FC32B8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703270D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5A1FEA8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Активність кафедри на платформі з працевлаштування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15762C9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ДООП, ІМЯО</w:t>
            </w:r>
          </w:p>
        </w:tc>
      </w:tr>
      <w:tr w:rsidR="00C45725" w:rsidRPr="00C45725" w14:paraId="0A646AA0" w14:textId="77777777" w:rsidTr="002E3045">
        <w:trPr>
          <w:trHeight w:val="6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D1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E5E4D8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2D1989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ефективності профорієнта-ційної роботи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DD7198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FFBB0A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Виконання максимального обсягу державного замовлення у % за конкурсною пропозицією денної форми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5B5CC1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C45725" w:rsidRPr="00C45725" w14:paraId="426FE34A" w14:textId="77777777" w:rsidTr="002E3045">
        <w:trPr>
          <w:trHeight w:val="39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39CA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BC4E70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BDFDFE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залученості працедавців до навчального процесу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69E152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99F8B9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Наявність програм дуальної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8BBA9D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ДООП</w:t>
            </w:r>
          </w:p>
        </w:tc>
      </w:tr>
      <w:tr w:rsidR="00C45725" w:rsidRPr="00C45725" w14:paraId="482FBFA0" w14:textId="77777777" w:rsidTr="002E3045">
        <w:trPr>
          <w:trHeight w:val="1301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hideMark/>
          </w:tcPr>
          <w:p w14:paraId="596F789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71B8C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CAA38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F047D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00B5C1" w14:textId="77777777" w:rsidR="00C45725" w:rsidRPr="00C45725" w:rsidRDefault="00C45725" w:rsidP="00C457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49A53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Якість контингенту </w:t>
            </w:r>
            <w:r w:rsidRPr="00C45725">
              <w:rPr>
                <w:rFonts w:ascii="Times New Roman" w:hAnsi="Times New Roman"/>
                <w:i/>
                <w:sz w:val="28"/>
                <w:szCs w:val="28"/>
              </w:rPr>
              <w:t>0,15</w:t>
            </w:r>
          </w:p>
          <w:p w14:paraId="68545C2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75FA228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14:paraId="7ADC7A2C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747D92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якості вхідного контингенту</w:t>
            </w:r>
          </w:p>
          <w:p w14:paraId="1A63827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690F77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272106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Середній конкурсний бал осіб, які вступили на бюджетну конкурсну пропозицію денної форми за результатами ЗНО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CEB412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</w:tr>
      <w:tr w:rsidR="00C45725" w:rsidRPr="00C45725" w14:paraId="633B85FE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72F05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C11C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76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34E10E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4EC623D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Показник результатів вхідного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B81879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ІМЯО</w:t>
            </w:r>
          </w:p>
        </w:tc>
      </w:tr>
      <w:tr w:rsidR="00C45725" w:rsidRPr="00C45725" w14:paraId="43C03D30" w14:textId="77777777" w:rsidTr="002E3045">
        <w:trPr>
          <w:trHeight w:val="3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904EE4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7711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92E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3CC806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7682993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Наявність серед вступників переможців МАН</w:t>
            </w:r>
          </w:p>
          <w:p w14:paraId="420F9AA2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BAC157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ДНВР</w:t>
            </w:r>
          </w:p>
        </w:tc>
      </w:tr>
      <w:tr w:rsidR="00C45725" w:rsidRPr="00C45725" w14:paraId="3ED5BB76" w14:textId="77777777" w:rsidTr="002E3045">
        <w:trPr>
          <w:trHeight w:val="12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834E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0D11586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7A52B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14:paraId="08C53A9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166489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творчих досягнень студентів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1BFC95F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412D46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 xml:space="preserve">Наявність переможців Всеукраїнських, міжнародних олімпіад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16BC79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ДНВР</w:t>
            </w:r>
          </w:p>
        </w:tc>
      </w:tr>
      <w:tr w:rsidR="00C45725" w:rsidRPr="00C45725" w14:paraId="3E3DE6DD" w14:textId="77777777" w:rsidTr="002E3045">
        <w:trPr>
          <w:trHeight w:val="85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5672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20D2E90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641C12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академічної мобільності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39BBD5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8BAEFEB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учасників програм мобільності до загальної кількості студентів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3692F14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ДНВР</w:t>
            </w:r>
          </w:p>
        </w:tc>
      </w:tr>
      <w:tr w:rsidR="00C45725" w:rsidRPr="00C45725" w14:paraId="60D2C26D" w14:textId="77777777" w:rsidTr="002E3045">
        <w:trPr>
          <w:trHeight w:val="85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E721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5FCCDD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7E710B3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Індикатор іноземного контингенту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51C7343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622BCF1E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Відносна кількість іноземних здобувачів освіти до загальної кількості здобувачів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14:paraId="45B58C4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sz w:val="28"/>
                <w:szCs w:val="28"/>
              </w:rPr>
              <w:t>ЦМО</w:t>
            </w:r>
          </w:p>
        </w:tc>
      </w:tr>
    </w:tbl>
    <w:p w14:paraId="1079B282" w14:textId="77777777" w:rsidR="00C45725" w:rsidRPr="00C45725" w:rsidRDefault="00C45725" w:rsidP="00C45725">
      <w:pPr>
        <w:spacing w:line="276" w:lineRule="auto"/>
        <w:rPr>
          <w:rFonts w:ascii="Times New Roman" w:hAnsi="Times New Roman"/>
          <w:sz w:val="28"/>
          <w:szCs w:val="28"/>
        </w:rPr>
        <w:sectPr w:rsidR="00C45725" w:rsidRPr="00C45725" w:rsidSect="000944DE">
          <w:headerReference w:type="even" r:id="rId12"/>
          <w:footerReference w:type="default" r:id="rId13"/>
          <w:footerReference w:type="firs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89"/>
        <w:tblW w:w="15134" w:type="dxa"/>
        <w:tblLayout w:type="fixed"/>
        <w:tblLook w:val="04A0" w:firstRow="1" w:lastRow="0" w:firstColumn="1" w:lastColumn="0" w:noHBand="0" w:noVBand="1"/>
      </w:tblPr>
      <w:tblGrid>
        <w:gridCol w:w="2977"/>
        <w:gridCol w:w="1242"/>
        <w:gridCol w:w="2126"/>
        <w:gridCol w:w="1452"/>
        <w:gridCol w:w="5352"/>
        <w:gridCol w:w="1985"/>
      </w:tblGrid>
      <w:tr w:rsidR="00C45725" w:rsidRPr="00C45725" w14:paraId="619D5F4A" w14:textId="77777777" w:rsidTr="002E3045">
        <w:trPr>
          <w:trHeight w:val="5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CFB6" w14:textId="77777777" w:rsidR="00C45725" w:rsidRPr="00C45725" w:rsidRDefault="00C45725" w:rsidP="00C457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5295" w14:textId="77777777" w:rsidR="00C45725" w:rsidRPr="00C45725" w:rsidRDefault="00C45725" w:rsidP="00C457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EF353" w14:textId="77777777" w:rsidR="00C45725" w:rsidRPr="00C45725" w:rsidRDefault="00C45725" w:rsidP="00C457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7ECA" w14:textId="77777777" w:rsidR="00C45725" w:rsidRPr="00C45725" w:rsidRDefault="00C45725" w:rsidP="00C457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B15F" w14:textId="77777777" w:rsidR="00C45725" w:rsidRPr="00C45725" w:rsidRDefault="00C45725" w:rsidP="00C45725">
            <w:pPr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Додаток 2</w:t>
            </w:r>
          </w:p>
          <w:p w14:paraId="155E66E0" w14:textId="77777777" w:rsidR="00C45725" w:rsidRPr="00C45725" w:rsidRDefault="00C45725" w:rsidP="00C45725">
            <w:pPr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Положення про систему рейтингування підрозділів за показниками діяльності (профілі)</w:t>
            </w:r>
          </w:p>
        </w:tc>
      </w:tr>
      <w:tr w:rsidR="00C45725" w:rsidRPr="00C45725" w14:paraId="34D435E4" w14:textId="77777777" w:rsidTr="002E3045">
        <w:trPr>
          <w:trHeight w:val="54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166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Показники діяльності (профілі) невипускових кафедр</w:t>
            </w:r>
          </w:p>
        </w:tc>
      </w:tr>
      <w:tr w:rsidR="00C45725" w:rsidRPr="00C45725" w14:paraId="79A057EE" w14:textId="77777777" w:rsidTr="002E3045"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B97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Категорії політики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2FCD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Вагові </w:t>
            </w:r>
            <w:proofErr w:type="spellStart"/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коефі-цієнти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8D2F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Індикатори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2961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Вагові </w:t>
            </w:r>
            <w:proofErr w:type="spellStart"/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коефі-цієнти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37E4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Набори даних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14D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 xml:space="preserve">Розпорядник </w:t>
            </w:r>
          </w:p>
          <w:p w14:paraId="399A9058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</w:rPr>
              <w:t>даних</w:t>
            </w:r>
          </w:p>
        </w:tc>
      </w:tr>
      <w:tr w:rsidR="00C45725" w:rsidRPr="00C45725" w14:paraId="5F7ACBC9" w14:textId="77777777" w:rsidTr="002E3045">
        <w:trPr>
          <w:trHeight w:val="152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5A4F1B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E998C35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Конкурентоспроможність освітнього контенту (0,25)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A4BF71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</w:t>
            </w:r>
          </w:p>
          <w:p w14:paraId="42514B5C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C4E52F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Індикатор внутрішньої акредитації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739910F7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522CCC37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Показник внутрішньої акредитації (% виконання нормативних показників за результатами самоаналізу)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1BA336D2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ДЯОП</w:t>
            </w:r>
          </w:p>
        </w:tc>
      </w:tr>
      <w:tr w:rsidR="00C45725" w:rsidRPr="00C45725" w14:paraId="11642C8C" w14:textId="77777777" w:rsidTr="002E3045">
        <w:trPr>
          <w:trHeight w:val="3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8D263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DBD6CF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0,3</w:t>
            </w:r>
          </w:p>
          <w:p w14:paraId="76CCC1E6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379AC1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освітнього контенту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389DE0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0D8A52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Відношення кількості виданих підручників до кількості штатних одиниць НПП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802DA7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</w:t>
            </w:r>
          </w:p>
        </w:tc>
      </w:tr>
      <w:tr w:rsidR="00C45725" w:rsidRPr="00C45725" w14:paraId="0E502760" w14:textId="77777777" w:rsidTr="002E3045">
        <w:trPr>
          <w:trHeight w:val="8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0DB845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EDB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B810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D904FE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A1738B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color w:val="1A202C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Відношення кількості виданих навчальних посібників до кількості штатних одиниць НПП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DA6B39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</w:t>
            </w:r>
          </w:p>
        </w:tc>
      </w:tr>
      <w:tr w:rsidR="00C45725" w:rsidRPr="00C45725" w14:paraId="3E57F0CE" w14:textId="77777777" w:rsidTr="002E3045">
        <w:trPr>
          <w:trHeight w:val="16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5429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C06AE7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D22118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забезпечення дистанційної освіти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4C7541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3B08CB" w14:textId="77777777" w:rsidR="00C45725" w:rsidRPr="00C45725" w:rsidRDefault="00C45725" w:rsidP="00C4572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розміщених курсів на платформі Сікорський до загальної кількості освітніх компонент, що забезпечує кафедра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CD26D8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ДООП, УІІТ</w:t>
            </w:r>
          </w:p>
        </w:tc>
      </w:tr>
    </w:tbl>
    <w:p w14:paraId="4EBDDB7D" w14:textId="77777777" w:rsidR="00C45725" w:rsidRPr="00C45725" w:rsidRDefault="00C45725" w:rsidP="00C457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49A1D47" w14:textId="77777777" w:rsidR="00C45725" w:rsidRPr="00C45725" w:rsidRDefault="00C45725" w:rsidP="00C457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76228F4" w14:textId="77777777" w:rsidR="00C45725" w:rsidRPr="00C45725" w:rsidRDefault="00C45725" w:rsidP="00C457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689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993"/>
        <w:gridCol w:w="5811"/>
        <w:gridCol w:w="1985"/>
      </w:tblGrid>
      <w:tr w:rsidR="00C45725" w:rsidRPr="00C45725" w14:paraId="70DD2227" w14:textId="77777777" w:rsidTr="002E3045">
        <w:trPr>
          <w:trHeight w:val="127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BC9CB4A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788CDFE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065369A3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90835F5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Людські ресурси (0,3)</w:t>
            </w:r>
          </w:p>
          <w:p w14:paraId="5B0AC421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14:paraId="471314CF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0,6</w:t>
            </w:r>
          </w:p>
          <w:p w14:paraId="4212157A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14:paraId="4ACEBFB6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якості кадрового забезпечення освітньої програми</w:t>
            </w:r>
          </w:p>
          <w:p w14:paraId="789D9383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0310618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3C3AA27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Усереднена оцінка науково-педагогічних працівників (НПП) кафедри ("Викладач очима студентів") опитування з системи «Електронний кампус»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4634F12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</w:t>
            </w:r>
          </w:p>
        </w:tc>
      </w:tr>
      <w:tr w:rsidR="00C45725" w:rsidRPr="00C45725" w14:paraId="4C3106ED" w14:textId="77777777" w:rsidTr="002E3045">
        <w:trPr>
          <w:trHeight w:val="74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3058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6F9BAC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B4117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50FD9E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283A0E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Середній вік НПП кафедри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E48069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ДУС (ВК)</w:t>
            </w:r>
          </w:p>
        </w:tc>
      </w:tr>
      <w:tr w:rsidR="00C45725" w:rsidRPr="00C45725" w14:paraId="3EDE9507" w14:textId="77777777" w:rsidTr="002E3045">
        <w:trPr>
          <w:trHeight w:val="433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D8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5460B1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0E314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0886505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8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23C596CA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Відношення НПП з науковим ступенем до загальної кількості НПП кафедри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6E36942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ДУС (ВК)</w:t>
            </w:r>
          </w:p>
        </w:tc>
      </w:tr>
      <w:tr w:rsidR="00C45725" w:rsidRPr="00C45725" w14:paraId="3695B3AC" w14:textId="77777777" w:rsidTr="002E3045">
        <w:trPr>
          <w:trHeight w:val="63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6E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CD0C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0D377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2160F4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355B7A4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Відносна кількість НПП, які виконують обов'язки голови або члена редколегії фахових видань/періодичних видань, що індексуються в базах Scopus або </w:t>
            </w:r>
            <w:proofErr w:type="spellStart"/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загальної кількості НПП кафедри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72F10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68577277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95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786503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C7DA7C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15C24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BCBFC76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НПП з вченим званням до загальної кількості 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A0F15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ДУС (ВК)</w:t>
            </w:r>
          </w:p>
        </w:tc>
      </w:tr>
      <w:tr w:rsidR="00C45725" w:rsidRPr="00C45725" w14:paraId="2A6ED483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33B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0EB2D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AC73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ECA10E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8F657B1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Наявність переможців конкурсу «Молодий викладач-дослідник»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D8ECD8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6292F635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8B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D77D2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A7B7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65E9B2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6741ABD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НПП, які мають сертифікат В2 з англійської мови, до загальної кількості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F32953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Рейтинг НПП</w:t>
            </w:r>
          </w:p>
        </w:tc>
      </w:tr>
      <w:tr w:rsidR="00C45725" w:rsidRPr="00C45725" w14:paraId="45228260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4E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77AF4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4E37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516492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3024F77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Наявність іноземних НПП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AAF60D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ДУС (ВК)</w:t>
            </w:r>
          </w:p>
        </w:tc>
      </w:tr>
      <w:tr w:rsidR="00C45725" w:rsidRPr="00C45725" w14:paraId="5E98283B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327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0E446A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</w:t>
            </w:r>
          </w:p>
          <w:p w14:paraId="1078876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AEF86D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підготовки наукових кадрів</w:t>
            </w:r>
          </w:p>
          <w:p w14:paraId="5214825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7D9A2F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34DC9A0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аспірантів до кількості докторів наук на кафедрі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A3CEE8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</w:t>
            </w:r>
          </w:p>
        </w:tc>
      </w:tr>
      <w:tr w:rsidR="00C45725" w:rsidRPr="00C45725" w14:paraId="3FD0D276" w14:textId="77777777" w:rsidTr="002E3045">
        <w:trPr>
          <w:trHeight w:val="63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23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14B7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BD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F94521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1E57C1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захистів докторських дисертацій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197CA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pacing w:val="-20"/>
                <w:sz w:val="28"/>
                <w:szCs w:val="28"/>
                <w:lang w:eastAsia="en-US"/>
              </w:rPr>
              <w:t>Відділ вченого секретаря, ДІТТ</w:t>
            </w:r>
          </w:p>
        </w:tc>
      </w:tr>
      <w:tr w:rsidR="00C45725" w:rsidRPr="00C45725" w14:paraId="31330F47" w14:textId="77777777" w:rsidTr="002E3045">
        <w:trPr>
          <w:trHeight w:val="64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DBF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B63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86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8B29A5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6D85918" w14:textId="77777777" w:rsidR="00C45725" w:rsidRPr="00C45725" w:rsidRDefault="00C45725" w:rsidP="00C457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захистів докторів філософії (кандидатських дисертацій)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4DEC4DC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pacing w:val="-20"/>
                <w:sz w:val="28"/>
                <w:szCs w:val="28"/>
                <w:lang w:eastAsia="en-US"/>
              </w:rPr>
              <w:t>Відділ вченого секретаря, ДІТТ</w:t>
            </w:r>
          </w:p>
        </w:tc>
      </w:tr>
      <w:tr w:rsidR="00C45725" w:rsidRPr="00C45725" w14:paraId="51BC24EA" w14:textId="77777777" w:rsidTr="002E3045">
        <w:trPr>
          <w:trHeight w:val="1827"/>
        </w:trPr>
        <w:tc>
          <w:tcPr>
            <w:tcW w:w="3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EDDEB17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2909217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F417A29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DF84FD5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A1B8F85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E5DC5F2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E7FAC94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030C978A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151E40A8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Науково-інноваційна діяльність (0,3)</w:t>
            </w:r>
          </w:p>
          <w:p w14:paraId="44A3375D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48FBC75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  <w:p w14:paraId="593DADE4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E44F86B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ефективності наукової діяльності</w:t>
            </w:r>
          </w:p>
          <w:p w14:paraId="26FAECA0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0354821B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5C100054" w14:textId="77777777" w:rsidR="00C45725" w:rsidRPr="00C45725" w:rsidRDefault="00C45725" w:rsidP="00C4572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надходжень від проведення фундаментальних, прикладних досліджень та розробок із загального фонду бюджету МОН, тис. грн. до кількості штатних одиниць за 1 рік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6CE96B09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307F3995" w14:textId="77777777" w:rsidTr="002E3045">
        <w:trPr>
          <w:trHeight w:val="63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0D8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0329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ECD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DF4259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A52912F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надходжень  від проведення розробок і досліджень за заявками підприємств та організацій  тис. грн. до кількості штатних одиниць за 1 рік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6C9879A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260F8246" w14:textId="77777777" w:rsidTr="002E3045">
        <w:trPr>
          <w:trHeight w:val="63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DB2E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337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D4F7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6DFAD55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AD7E4CA" w14:textId="77777777" w:rsidR="00C45725" w:rsidRPr="00C45725" w:rsidRDefault="00C45725" w:rsidP="00C45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надходжень від виконання робіт, що фінансуються міжнародними проєктно-грантовими фондами (Горизонт Європа, Програма НАТО "Наука заради миру та безпеки" та інші) тис. грн. до кількості штатних одиниць за 1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771066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6892532A" w14:textId="77777777" w:rsidTr="002E3045">
        <w:trPr>
          <w:trHeight w:val="243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DA3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79F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2DB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38BE4D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8D64080" w14:textId="77777777" w:rsidR="00C45725" w:rsidRPr="00C45725" w:rsidRDefault="00C45725" w:rsidP="00C457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Відносна кількість фіналістів на конкурсі проектів Sikorsky </w:t>
            </w:r>
            <w:proofErr w:type="spellStart"/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challenge</w:t>
            </w:r>
            <w:proofErr w:type="spellEnd"/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E75643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5CFA3202" w14:textId="77777777" w:rsidTr="002E3045">
        <w:trPr>
          <w:trHeight w:val="455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738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D9528B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  <w:p w14:paraId="3E4853F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7CB0AB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результатив-ності наукової роботи</w:t>
            </w:r>
          </w:p>
          <w:p w14:paraId="4368023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8293D0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11677CE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Відносна кількість отриманих патентів на винахід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5FED9E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5AD9058D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4E5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03A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730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882B05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8B42F28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Відносна кількість отриманих </w:t>
            </w:r>
            <w:proofErr w:type="spellStart"/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свідоцтв</w:t>
            </w:r>
            <w:proofErr w:type="spellEnd"/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авторського права до кількості штатних одиниць НПП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381EFC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15CDEF56" w14:textId="77777777" w:rsidTr="002E3045">
        <w:trPr>
          <w:trHeight w:val="63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51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684A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BCE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1EC5BA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0,15</w:t>
            </w:r>
          </w:p>
          <w:p w14:paraId="6384550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14:paraId="66BDEA92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pacing w:val="-12"/>
                <w:sz w:val="28"/>
                <w:szCs w:val="28"/>
                <w:lang w:eastAsia="en-US"/>
              </w:rPr>
              <w:t xml:space="preserve">Відносна кількість доповідей на конференціях з публікацією матеріалів та опублікованих статей у виданнях, що входять до науково-метричних баз даних (НМБД) Scopus\Web of Science Core </w:t>
            </w:r>
            <w:r w:rsidRPr="00C45725">
              <w:rPr>
                <w:rFonts w:ascii="Times New Roman" w:eastAsia="Calibri" w:hAnsi="Times New Roman"/>
                <w:spacing w:val="-12"/>
                <w:sz w:val="28"/>
                <w:szCs w:val="28"/>
                <w:lang w:eastAsia="en-US"/>
              </w:rPr>
              <w:lastRenderedPageBreak/>
              <w:t>Collection до кількості штатних одиниць НПП кафедри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EDCC067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ДІТТ </w:t>
            </w:r>
          </w:p>
        </w:tc>
      </w:tr>
      <w:tr w:rsidR="00C45725" w:rsidRPr="00C45725" w14:paraId="66C90051" w14:textId="77777777" w:rsidTr="002E3045">
        <w:trPr>
          <w:trHeight w:val="744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76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6D87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3BB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55E8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C918E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BA1F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5725" w:rsidRPr="00C45725" w14:paraId="7FAD630F" w14:textId="77777777" w:rsidTr="002E3045">
        <w:trPr>
          <w:trHeight w:val="1686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116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84C8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3B0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43E0484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0,15</w:t>
            </w:r>
          </w:p>
          <w:p w14:paraId="0E41570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14:paraId="7BB4B12F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Відносна кількість статей у фахових журналах категорії Б, що не індексуються базами Scopus та/або Web of Science та/або участь у конференції з публікацією матеріалів, що не індексуються базами даних Scopus та/або Web of Science до кількості штатних одиниць НПП кафедри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DFE4BC3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1B5DCEA8" w14:textId="77777777" w:rsidTr="002E3045">
        <w:trPr>
          <w:trHeight w:val="1610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3E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1B46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32C8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3C1012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E559DCB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>Відносна кількість видань монографій, що опубліковані передовими міжнародними видавництвами (згідно додатку) до кількості штатних одиниць НПП кафедри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59334D0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194EF64F" w14:textId="77777777" w:rsidTr="002E3045">
        <w:trPr>
          <w:trHeight w:val="63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442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2EC8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A39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AFBF60F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F1B5FC2" w14:textId="77777777" w:rsidR="00C45725" w:rsidRPr="00C45725" w:rsidRDefault="00C45725" w:rsidP="00C45725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Відносна кількість видань монографій у інших видавництвах до кількості штатних одиниць НПП кафедри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8358C2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36174A43" w14:textId="77777777" w:rsidTr="002E3045">
        <w:trPr>
          <w:trHeight w:val="756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0061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4E3F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BE4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606C1DF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5811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2EC6B2A0" w14:textId="77777777" w:rsidR="00C45725" w:rsidRPr="00C45725" w:rsidRDefault="00C45725" w:rsidP="00C45725">
            <w:pP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Усереднене значення цитованості публікацій НПП кафедри у НМБД Scopus</w:t>
            </w:r>
          </w:p>
          <w:p w14:paraId="17BF5D73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14:paraId="2370B688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НТБ, </w:t>
            </w:r>
            <w:r w:rsidRPr="00C45725">
              <w:t xml:space="preserve"> </w:t>
            </w: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ДІТТ</w:t>
            </w:r>
          </w:p>
        </w:tc>
      </w:tr>
    </w:tbl>
    <w:p w14:paraId="3688B16D" w14:textId="77777777" w:rsidR="00C45725" w:rsidRPr="00C45725" w:rsidRDefault="00C45725" w:rsidP="00C4572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45725">
        <w:rPr>
          <w:rFonts w:eastAsia="Calibri"/>
          <w:sz w:val="22"/>
          <w:szCs w:val="22"/>
          <w:lang w:eastAsia="en-US"/>
        </w:rPr>
        <w:br w:type="page"/>
      </w:r>
    </w:p>
    <w:p w14:paraId="350B6835" w14:textId="77777777" w:rsidR="00C45725" w:rsidRPr="00C45725" w:rsidRDefault="00C45725" w:rsidP="00C45725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90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993"/>
        <w:gridCol w:w="5811"/>
        <w:gridCol w:w="1985"/>
      </w:tblGrid>
      <w:tr w:rsidR="00C45725" w:rsidRPr="00C45725" w14:paraId="00C9DBE1" w14:textId="77777777" w:rsidTr="002E3045">
        <w:trPr>
          <w:trHeight w:val="80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CC"/>
            <w:hideMark/>
          </w:tcPr>
          <w:p w14:paraId="11A98948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0044255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E71930B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Інформаційна активність та прозорість (0,15)</w:t>
            </w:r>
          </w:p>
          <w:p w14:paraId="5622D081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hideMark/>
          </w:tcPr>
          <w:p w14:paraId="10A5D7F5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0,55</w:t>
            </w:r>
          </w:p>
          <w:p w14:paraId="455A857B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hideMark/>
          </w:tcPr>
          <w:p w14:paraId="3CBF915B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активності в інформаційному просторі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1C382973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319AEF01" w14:textId="77777777" w:rsidR="00C45725" w:rsidRPr="00C45725" w:rsidRDefault="00C45725" w:rsidP="00C4572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Показник активності в інформаційному просторі (сайт кафедри)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1FCFC51E" w14:textId="77777777" w:rsidR="00C45725" w:rsidRPr="00C45725" w:rsidRDefault="00C45725" w:rsidP="00C45725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ІМЯО</w:t>
            </w:r>
          </w:p>
        </w:tc>
      </w:tr>
      <w:tr w:rsidR="00C45725" w:rsidRPr="00C45725" w14:paraId="14EE6D98" w14:textId="77777777" w:rsidTr="002E3045">
        <w:trPr>
          <w:trHeight w:val="941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50142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0E157F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5B8A3F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07D355F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5195148E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Показник активності в інформаційному просторі </w:t>
            </w:r>
            <w:proofErr w:type="spellStart"/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Facebook</w:t>
            </w:r>
            <w:proofErr w:type="spellEnd"/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-сторінка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5F427E26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ІМЯО</w:t>
            </w:r>
          </w:p>
        </w:tc>
      </w:tr>
      <w:tr w:rsidR="00C45725" w:rsidRPr="00C45725" w14:paraId="210E1793" w14:textId="77777777" w:rsidTr="002E3045">
        <w:trPr>
          <w:trHeight w:val="31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F286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06ECC1A5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0,45</w:t>
            </w:r>
          </w:p>
          <w:p w14:paraId="43CD9774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4138260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Індикатор прозорості</w:t>
            </w:r>
          </w:p>
          <w:p w14:paraId="221832DD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15640AF9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3A05BF42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Показник прозорості та наповнення контентом сайту кафедри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098727CA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</w:t>
            </w:r>
          </w:p>
        </w:tc>
      </w:tr>
      <w:tr w:rsidR="00C45725" w:rsidRPr="00C45725" w14:paraId="29F57922" w14:textId="77777777" w:rsidTr="002E3045">
        <w:trPr>
          <w:trHeight w:val="557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5CE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A8B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DA5" w14:textId="77777777" w:rsidR="00C45725" w:rsidRPr="00C45725" w:rsidRDefault="00C45725" w:rsidP="00C4572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17C320CB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14:paraId="33CDDB05" w14:textId="77777777" w:rsidR="00C45725" w:rsidRPr="00C45725" w:rsidRDefault="00C45725" w:rsidP="00C45725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Показник англомовної сторінки кафедри</w:t>
            </w:r>
          </w:p>
          <w:p w14:paraId="7B582F65" w14:textId="77777777" w:rsidR="00C45725" w:rsidRPr="00C45725" w:rsidRDefault="00C45725" w:rsidP="00C45725">
            <w:pP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hideMark/>
          </w:tcPr>
          <w:p w14:paraId="011F3B11" w14:textId="77777777" w:rsidR="00C45725" w:rsidRPr="00C45725" w:rsidRDefault="00C45725" w:rsidP="00C4572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ІМЯО,</w:t>
            </w:r>
          </w:p>
          <w:p w14:paraId="2629BAF1" w14:textId="77777777" w:rsidR="00C45725" w:rsidRPr="00C45725" w:rsidRDefault="00C45725" w:rsidP="00C457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ДООП</w:t>
            </w:r>
          </w:p>
        </w:tc>
      </w:tr>
    </w:tbl>
    <w:p w14:paraId="4934DA91" w14:textId="693D4F5C" w:rsidR="00C45725" w:rsidRDefault="00C45725" w:rsidP="00C457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01A5B47" w14:textId="77777777" w:rsidR="007C01B0" w:rsidRDefault="007C01B0" w:rsidP="00C457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BB1BA44" w14:textId="77777777" w:rsidR="00C45725" w:rsidRPr="00C45725" w:rsidRDefault="00C45725" w:rsidP="00C45725">
      <w:pPr>
        <w:keepNext/>
        <w:shd w:val="clear" w:color="auto" w:fill="FFFFFF"/>
        <w:spacing w:after="225"/>
        <w:jc w:val="both"/>
        <w:outlineLvl w:val="0"/>
        <w:rPr>
          <w:rFonts w:ascii="Times New Roman" w:hAnsi="Times New Roman"/>
          <w:bCs/>
          <w:kern w:val="32"/>
        </w:rPr>
      </w:pPr>
      <w:r w:rsidRPr="00C45725">
        <w:rPr>
          <w:rFonts w:ascii="Times New Roman" w:hAnsi="Times New Roman"/>
          <w:b/>
          <w:bCs/>
          <w:kern w:val="32"/>
        </w:rPr>
        <w:t xml:space="preserve">Примітка: </w:t>
      </w:r>
      <w:r w:rsidRPr="00C45725">
        <w:rPr>
          <w:rFonts w:ascii="Times New Roman" w:hAnsi="Times New Roman"/>
          <w:bCs/>
          <w:kern w:val="32"/>
        </w:rPr>
        <w:t>орієнтовні нормативи показників (набори даних) зазначені у Додатку 1 до Наказу № НОН/253/2022 від 15.09.2022 «Про проведення самоаналізу діяльності кафедр (внутрішньої акредитації)»</w:t>
      </w:r>
    </w:p>
    <w:p w14:paraId="3C438CBC" w14:textId="77777777" w:rsidR="00C45725" w:rsidRPr="00C45725" w:rsidRDefault="00C45725" w:rsidP="00C45725"/>
    <w:p w14:paraId="067ACD76" w14:textId="77777777" w:rsidR="00C45725" w:rsidRPr="00C45725" w:rsidRDefault="00C45725" w:rsidP="00C45725">
      <w:pPr>
        <w:spacing w:line="276" w:lineRule="auto"/>
        <w:jc w:val="both"/>
        <w:rPr>
          <w:rFonts w:ascii="Times New Roman" w:hAnsi="Times New Roman"/>
          <w:b/>
        </w:rPr>
        <w:sectPr w:rsidR="00C45725" w:rsidRPr="00C45725" w:rsidSect="00817E8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3028CE15" w14:textId="77777777" w:rsidR="00C45725" w:rsidRPr="00C45725" w:rsidRDefault="00C45725" w:rsidP="00C45725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572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Додаток 3</w:t>
      </w:r>
    </w:p>
    <w:p w14:paraId="2876C788" w14:textId="77777777" w:rsidR="00C45725" w:rsidRPr="00C45725" w:rsidRDefault="00C45725" w:rsidP="00C45725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5725">
        <w:rPr>
          <w:rFonts w:ascii="Times New Roman" w:eastAsia="Calibri" w:hAnsi="Times New Roman"/>
          <w:sz w:val="28"/>
          <w:szCs w:val="28"/>
          <w:lang w:eastAsia="en-US"/>
        </w:rPr>
        <w:t>до Положення про систему рейтингування підрозділів за показниками діяльності (профілі)</w:t>
      </w:r>
    </w:p>
    <w:p w14:paraId="6FD18651" w14:textId="77777777" w:rsidR="00C45725" w:rsidRPr="00C45725" w:rsidRDefault="00C45725" w:rsidP="00C45725">
      <w:pPr>
        <w:spacing w:line="276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b"/>
        <w:tblW w:w="9483" w:type="dxa"/>
        <w:tblLook w:val="04A0" w:firstRow="1" w:lastRow="0" w:firstColumn="1" w:lastColumn="0" w:noHBand="0" w:noVBand="1"/>
      </w:tblPr>
      <w:tblGrid>
        <w:gridCol w:w="7481"/>
        <w:gridCol w:w="2002"/>
      </w:tblGrid>
      <w:tr w:rsidR="00C45725" w:rsidRPr="00C45725" w14:paraId="12E088F8" w14:textId="77777777" w:rsidTr="000D25A0">
        <w:trPr>
          <w:trHeight w:val="616"/>
        </w:trPr>
        <w:tc>
          <w:tcPr>
            <w:tcW w:w="0" w:type="auto"/>
            <w:gridSpan w:val="2"/>
          </w:tcPr>
          <w:p w14:paraId="24740B41" w14:textId="00CF7109" w:rsidR="00C45725" w:rsidRPr="00C45725" w:rsidRDefault="00C45725" w:rsidP="00C457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Показники діяльності (профілі)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факультетів/навчально-наукових інститутів</w:t>
            </w:r>
          </w:p>
        </w:tc>
      </w:tr>
      <w:tr w:rsidR="00C45725" w:rsidRPr="00C45725" w14:paraId="536242E7" w14:textId="77777777" w:rsidTr="002E3045">
        <w:trPr>
          <w:trHeight w:val="616"/>
        </w:trPr>
        <w:tc>
          <w:tcPr>
            <w:tcW w:w="0" w:type="auto"/>
          </w:tcPr>
          <w:p w14:paraId="541AD06E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Набори даних</w:t>
            </w:r>
          </w:p>
        </w:tc>
        <w:tc>
          <w:tcPr>
            <w:tcW w:w="0" w:type="auto"/>
          </w:tcPr>
          <w:p w14:paraId="23BAE14E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Розпорядник даних</w:t>
            </w:r>
          </w:p>
        </w:tc>
      </w:tr>
      <w:tr w:rsidR="00C45725" w:rsidRPr="00C45725" w14:paraId="78839166" w14:textId="77777777" w:rsidTr="002E3045">
        <w:trPr>
          <w:trHeight w:val="616"/>
        </w:trPr>
        <w:tc>
          <w:tcPr>
            <w:tcW w:w="0" w:type="auto"/>
          </w:tcPr>
          <w:p w14:paraId="7BAD8263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Стан навчально-лабораторної бази (задоволеність студентами та оцінка співробітниками)</w:t>
            </w:r>
          </w:p>
        </w:tc>
        <w:tc>
          <w:tcPr>
            <w:tcW w:w="0" w:type="auto"/>
          </w:tcPr>
          <w:p w14:paraId="4A701470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48CCEBEC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Соціоплюс</w:t>
            </w:r>
          </w:p>
        </w:tc>
      </w:tr>
      <w:tr w:rsidR="00C45725" w:rsidRPr="00C45725" w14:paraId="19FC465B" w14:textId="77777777" w:rsidTr="002E3045">
        <w:trPr>
          <w:trHeight w:val="301"/>
        </w:trPr>
        <w:tc>
          <w:tcPr>
            <w:tcW w:w="0" w:type="auto"/>
          </w:tcPr>
          <w:p w14:paraId="6A6DFFFF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Середній вік НПП факультету/навчально-наукового інституту</w:t>
            </w:r>
          </w:p>
        </w:tc>
        <w:tc>
          <w:tcPr>
            <w:tcW w:w="0" w:type="auto"/>
          </w:tcPr>
          <w:p w14:paraId="1902C2EA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ДУС (ВК)</w:t>
            </w:r>
          </w:p>
        </w:tc>
      </w:tr>
      <w:tr w:rsidR="00C45725" w:rsidRPr="00C45725" w14:paraId="39E54B6B" w14:textId="77777777" w:rsidTr="002E3045">
        <w:trPr>
          <w:trHeight w:val="616"/>
        </w:trPr>
        <w:tc>
          <w:tcPr>
            <w:tcW w:w="0" w:type="auto"/>
          </w:tcPr>
          <w:p w14:paraId="7E23BF23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Відношення НПП з науковим ступенем до загальної кількості НПП факультету/навчально-наукового інституту</w:t>
            </w:r>
          </w:p>
        </w:tc>
        <w:tc>
          <w:tcPr>
            <w:tcW w:w="0" w:type="auto"/>
          </w:tcPr>
          <w:p w14:paraId="3C6896C1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136C3977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ДУС(ВК)</w:t>
            </w:r>
          </w:p>
        </w:tc>
      </w:tr>
      <w:tr w:rsidR="00C45725" w:rsidRPr="00C45725" w14:paraId="43992D3E" w14:textId="77777777" w:rsidTr="002E3045">
        <w:trPr>
          <w:trHeight w:val="301"/>
        </w:trPr>
        <w:tc>
          <w:tcPr>
            <w:tcW w:w="0" w:type="auto"/>
          </w:tcPr>
          <w:p w14:paraId="2C8B22C3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Наявність переможців конкурсу Молодий викладач-дослідник</w:t>
            </w:r>
          </w:p>
        </w:tc>
        <w:tc>
          <w:tcPr>
            <w:tcW w:w="0" w:type="auto"/>
          </w:tcPr>
          <w:p w14:paraId="70C152FA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4A7DE514" w14:textId="77777777" w:rsidTr="002E3045">
        <w:trPr>
          <w:trHeight w:val="301"/>
        </w:trPr>
        <w:tc>
          <w:tcPr>
            <w:tcW w:w="0" w:type="auto"/>
          </w:tcPr>
          <w:p w14:paraId="66697711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Кількість іноземних НПП</w:t>
            </w:r>
          </w:p>
        </w:tc>
        <w:tc>
          <w:tcPr>
            <w:tcW w:w="0" w:type="auto"/>
          </w:tcPr>
          <w:p w14:paraId="7709B551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ДУС(ВК)</w:t>
            </w:r>
          </w:p>
        </w:tc>
      </w:tr>
      <w:tr w:rsidR="00C45725" w:rsidRPr="00C45725" w14:paraId="474342DD" w14:textId="77777777" w:rsidTr="002E3045">
        <w:trPr>
          <w:trHeight w:val="1233"/>
        </w:trPr>
        <w:tc>
          <w:tcPr>
            <w:tcW w:w="0" w:type="auto"/>
          </w:tcPr>
          <w:p w14:paraId="5ACA0575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Обсяг надходжень до спеціального фонду за результатами наукових та науково-технічних робіт за проектами міжнародного співробітництва, за результатами наукових і науково-технічних робіт за господарськими договорами та за результатами надання наукових послуг, тис. грн.</w:t>
            </w:r>
          </w:p>
        </w:tc>
        <w:tc>
          <w:tcPr>
            <w:tcW w:w="0" w:type="auto"/>
          </w:tcPr>
          <w:p w14:paraId="13404780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2403C5DB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3FCA198E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58557576" w14:textId="77777777" w:rsidTr="002E3045">
        <w:trPr>
          <w:trHeight w:val="301"/>
        </w:trPr>
        <w:tc>
          <w:tcPr>
            <w:tcW w:w="0" w:type="auto"/>
          </w:tcPr>
          <w:p w14:paraId="7A68EFCC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Подання проектів на конкурс Sikorsky </w:t>
            </w:r>
            <w:proofErr w:type="spellStart"/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challenge</w:t>
            </w:r>
            <w:proofErr w:type="spellEnd"/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26C46B4F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4E8A3FF3" w14:textId="77777777" w:rsidTr="002E3045">
        <w:trPr>
          <w:trHeight w:val="616"/>
        </w:trPr>
        <w:tc>
          <w:tcPr>
            <w:tcW w:w="0" w:type="auto"/>
          </w:tcPr>
          <w:p w14:paraId="61881FCF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Видання монографій (розділу монографій), публікація статті у виданні, що входить до НМБД Scopus/Web of Science Core Collection </w:t>
            </w:r>
          </w:p>
        </w:tc>
        <w:tc>
          <w:tcPr>
            <w:tcW w:w="0" w:type="auto"/>
          </w:tcPr>
          <w:p w14:paraId="3E393046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32FDD2BC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ДІТТ</w:t>
            </w:r>
          </w:p>
        </w:tc>
      </w:tr>
      <w:tr w:rsidR="00C45725" w:rsidRPr="00C45725" w14:paraId="55F1787C" w14:textId="77777777" w:rsidTr="002E3045">
        <w:trPr>
          <w:trHeight w:val="301"/>
        </w:trPr>
        <w:tc>
          <w:tcPr>
            <w:tcW w:w="0" w:type="auto"/>
          </w:tcPr>
          <w:p w14:paraId="28C43C53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Усереднене значення цитованості НПП у НБД Scopus</w:t>
            </w:r>
          </w:p>
        </w:tc>
        <w:tc>
          <w:tcPr>
            <w:tcW w:w="0" w:type="auto"/>
          </w:tcPr>
          <w:p w14:paraId="0B4AF6F9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НТБ</w:t>
            </w:r>
          </w:p>
        </w:tc>
      </w:tr>
      <w:tr w:rsidR="00C45725" w:rsidRPr="00C45725" w14:paraId="651E2A4D" w14:textId="77777777" w:rsidTr="002E3045">
        <w:trPr>
          <w:trHeight w:val="301"/>
        </w:trPr>
        <w:tc>
          <w:tcPr>
            <w:tcW w:w="0" w:type="auto"/>
          </w:tcPr>
          <w:p w14:paraId="2BA81892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Показник активності в інформаційному просторі (сайт та </w:t>
            </w:r>
            <w:proofErr w:type="spellStart"/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Facebook</w:t>
            </w:r>
            <w:proofErr w:type="spellEnd"/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-сторінка)</w:t>
            </w:r>
          </w:p>
        </w:tc>
        <w:tc>
          <w:tcPr>
            <w:tcW w:w="0" w:type="auto"/>
          </w:tcPr>
          <w:p w14:paraId="6AC3659D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ІМЯО</w:t>
            </w:r>
          </w:p>
        </w:tc>
      </w:tr>
      <w:tr w:rsidR="00C45725" w:rsidRPr="00C45725" w14:paraId="63E448DD" w14:textId="77777777" w:rsidTr="002E3045">
        <w:trPr>
          <w:trHeight w:val="616"/>
        </w:trPr>
        <w:tc>
          <w:tcPr>
            <w:tcW w:w="0" w:type="auto"/>
          </w:tcPr>
          <w:p w14:paraId="5149A5E3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Рейтинг прозорості та наповнення контентом сайту факультету/навчально-наукового інституту</w:t>
            </w:r>
          </w:p>
        </w:tc>
        <w:tc>
          <w:tcPr>
            <w:tcW w:w="0" w:type="auto"/>
          </w:tcPr>
          <w:p w14:paraId="116DCE1C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3C88B714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ДООП</w:t>
            </w:r>
          </w:p>
        </w:tc>
      </w:tr>
      <w:tr w:rsidR="00C45725" w:rsidRPr="00C45725" w14:paraId="4235A465" w14:textId="77777777" w:rsidTr="002E3045">
        <w:trPr>
          <w:trHeight w:val="602"/>
        </w:trPr>
        <w:tc>
          <w:tcPr>
            <w:tcW w:w="0" w:type="auto"/>
          </w:tcPr>
          <w:p w14:paraId="47CC34E1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Виконання максимального обсягу державного замовлення у</w:t>
            </w:r>
            <w:r w:rsidRPr="00C45725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 </w:t>
            </w: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% за конкурсною пропозицією</w:t>
            </w:r>
          </w:p>
        </w:tc>
        <w:tc>
          <w:tcPr>
            <w:tcW w:w="0" w:type="auto"/>
          </w:tcPr>
          <w:p w14:paraId="0015797A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14:paraId="52E1F9B6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ПК</w:t>
            </w:r>
          </w:p>
        </w:tc>
      </w:tr>
      <w:tr w:rsidR="00C45725" w:rsidRPr="00C45725" w14:paraId="4CFF5E41" w14:textId="77777777" w:rsidTr="002E3045">
        <w:trPr>
          <w:trHeight w:val="315"/>
        </w:trPr>
        <w:tc>
          <w:tcPr>
            <w:tcW w:w="0" w:type="auto"/>
          </w:tcPr>
          <w:p w14:paraId="1EF07FAD" w14:textId="77777777" w:rsidR="00C45725" w:rsidRPr="00C45725" w:rsidRDefault="00C45725" w:rsidP="00C457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Співвідношення іноземних здобувачів до контингенту здобувачів</w:t>
            </w:r>
          </w:p>
        </w:tc>
        <w:tc>
          <w:tcPr>
            <w:tcW w:w="0" w:type="auto"/>
          </w:tcPr>
          <w:p w14:paraId="0B5EC02E" w14:textId="77777777" w:rsidR="00C45725" w:rsidRPr="00C45725" w:rsidRDefault="00C45725" w:rsidP="00C457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457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ЦМО</w:t>
            </w:r>
          </w:p>
        </w:tc>
      </w:tr>
    </w:tbl>
    <w:p w14:paraId="7BCFD0A1" w14:textId="77777777" w:rsidR="00C45725" w:rsidRPr="00C45725" w:rsidRDefault="00C45725" w:rsidP="00C457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05A0699" w14:textId="0951BE3F" w:rsidR="00ED1C62" w:rsidRPr="009C4F88" w:rsidRDefault="00ED1C62" w:rsidP="00C457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D1C62" w:rsidRPr="009C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AB3A" w14:textId="77777777" w:rsidR="001930A9" w:rsidRDefault="001930A9" w:rsidP="004948E9">
      <w:r>
        <w:separator/>
      </w:r>
    </w:p>
    <w:p w14:paraId="4729B765" w14:textId="77777777" w:rsidR="001930A9" w:rsidRDefault="001930A9" w:rsidP="004948E9"/>
  </w:endnote>
  <w:endnote w:type="continuationSeparator" w:id="0">
    <w:p w14:paraId="53556E22" w14:textId="77777777" w:rsidR="001930A9" w:rsidRDefault="001930A9" w:rsidP="004948E9">
      <w:r>
        <w:continuationSeparator/>
      </w:r>
    </w:p>
    <w:p w14:paraId="0F6EF9A7" w14:textId="77777777" w:rsidR="001930A9" w:rsidRDefault="001930A9" w:rsidP="00494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FDA5" w14:textId="5DD457DE" w:rsidR="006E2538" w:rsidRPr="00DE2A1F" w:rsidRDefault="006E2538" w:rsidP="00594918">
    <w:pPr>
      <w:pStyle w:val="aa"/>
      <w:tabs>
        <w:tab w:val="clear" w:pos="4677"/>
        <w:tab w:val="clear" w:pos="9355"/>
      </w:tabs>
      <w:ind w:firstLine="0"/>
      <w:rPr>
        <w:sz w:val="24"/>
        <w:szCs w:val="24"/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071D" w14:textId="05E0DBED" w:rsidR="006E2538" w:rsidRPr="003D262D" w:rsidRDefault="006E2538" w:rsidP="00A03626">
    <w:pPr>
      <w:pStyle w:val="aa"/>
      <w:jc w:val="right"/>
      <w:rPr>
        <w:sz w:val="24"/>
        <w:szCs w:val="24"/>
        <w:lang w:val="uk-UA"/>
      </w:rPr>
    </w:pPr>
  </w:p>
  <w:p w14:paraId="63A40E03" w14:textId="77777777" w:rsidR="006E2538" w:rsidRDefault="006E25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AECD" w14:textId="77777777" w:rsidR="00C45725" w:rsidRPr="00DE2A1F" w:rsidRDefault="00C45725" w:rsidP="008D7AE6">
    <w:pPr>
      <w:pStyle w:val="aa"/>
      <w:ind w:firstLine="0"/>
      <w:jc w:val="right"/>
      <w:rPr>
        <w:sz w:val="24"/>
        <w:szCs w:val="24"/>
        <w:lang w:val="uk-U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FA3F" w14:textId="77777777" w:rsidR="00C45725" w:rsidRPr="003D262D" w:rsidRDefault="00C45725" w:rsidP="00A03626">
    <w:pPr>
      <w:pStyle w:val="aa"/>
      <w:jc w:val="right"/>
      <w:rPr>
        <w:sz w:val="24"/>
        <w:szCs w:val="24"/>
        <w:lang w:val="uk-UA"/>
      </w:rPr>
    </w:pPr>
  </w:p>
  <w:p w14:paraId="0448F8C4" w14:textId="77777777" w:rsidR="00C45725" w:rsidRDefault="00C45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9BFB" w14:textId="77777777" w:rsidR="001930A9" w:rsidRDefault="001930A9" w:rsidP="004948E9">
      <w:r>
        <w:separator/>
      </w:r>
    </w:p>
  </w:footnote>
  <w:footnote w:type="continuationSeparator" w:id="0">
    <w:p w14:paraId="63987A3A" w14:textId="77777777" w:rsidR="001930A9" w:rsidRDefault="001930A9" w:rsidP="004948E9">
      <w:r>
        <w:continuationSeparator/>
      </w:r>
    </w:p>
    <w:p w14:paraId="6B95EFDD" w14:textId="77777777" w:rsidR="001930A9" w:rsidRDefault="001930A9" w:rsidP="004948E9"/>
  </w:footnote>
  <w:footnote w:id="1">
    <w:p w14:paraId="1270E3E7" w14:textId="2160928A" w:rsidR="00A7322A" w:rsidRDefault="00A7322A" w:rsidP="00C45725">
      <w:pPr>
        <w:pStyle w:val="aa"/>
        <w:tabs>
          <w:tab w:val="clear" w:pos="4677"/>
          <w:tab w:val="clear" w:pos="9355"/>
        </w:tabs>
        <w:ind w:firstLine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 xml:space="preserve">Примітка: </w:t>
      </w:r>
      <w:r w:rsidRPr="00721FB0">
        <w:rPr>
          <w:rFonts w:ascii="Times New Roman" w:hAnsi="Times New Roman"/>
          <w:lang w:val="uk-UA"/>
        </w:rPr>
        <w:t>щорічні звіти завідувачів кафедр є складовою щорічного звіту декана факультета/директора навчально-наукового інститута.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4E6D" w14:textId="1EB3FA0A" w:rsidR="006E2538" w:rsidRDefault="006E253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5C543C" wp14:editId="1624D9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0740" cy="2960370"/>
              <wp:effectExtent l="0" t="1076325" r="0" b="982980"/>
              <wp:wrapNone/>
              <wp:docPr id="1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0740" cy="2960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C6161" w14:textId="77777777" w:rsidR="006E2538" w:rsidRDefault="006E2538" w:rsidP="00533A9C">
                          <w:pPr>
                            <w:pStyle w:val="af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проєкт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C543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66.2pt;height:23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7AC6161" w14:textId="77777777" w:rsidR="006E2538" w:rsidRDefault="006E2538" w:rsidP="00533A9C">
                    <w:pPr>
                      <w:pStyle w:val="af5"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проєкт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296" w14:textId="77777777" w:rsidR="00C45725" w:rsidRDefault="00C45725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30E164" wp14:editId="4043B9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0740" cy="2960370"/>
              <wp:effectExtent l="0" t="1076325" r="0" b="98298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0740" cy="2960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3BBB4" w14:textId="77777777" w:rsidR="00C45725" w:rsidRDefault="00C45725" w:rsidP="00533A9C">
                          <w:pPr>
                            <w:pStyle w:val="af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проєкт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0E1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466.2pt;height:23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83BBB4" w14:textId="77777777" w:rsidR="00C45725" w:rsidRDefault="00C45725" w:rsidP="00533A9C">
                    <w:pPr>
                      <w:pStyle w:val="af5"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проєкт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BB8B0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70B7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12162"/>
    <w:multiLevelType w:val="multilevel"/>
    <w:tmpl w:val="AA02B3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CC"/>
    <w:multiLevelType w:val="multilevel"/>
    <w:tmpl w:val="477484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pStyle w:val="-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9197C60"/>
    <w:multiLevelType w:val="multilevel"/>
    <w:tmpl w:val="9A42694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B1C35EC"/>
    <w:multiLevelType w:val="hybridMultilevel"/>
    <w:tmpl w:val="B4E416DE"/>
    <w:lvl w:ilvl="0" w:tplc="7794D2E8">
      <w:numFmt w:val="bullet"/>
      <w:pStyle w:val="1"/>
      <w:lvlText w:val="–"/>
      <w:lvlJc w:val="left"/>
      <w:pPr>
        <w:tabs>
          <w:tab w:val="num" w:pos="8724"/>
        </w:tabs>
        <w:ind w:left="8724" w:hanging="360"/>
      </w:pPr>
      <w:rPr>
        <w:rFonts w:ascii="Times New Roman" w:eastAsia="Times New Roman" w:hAnsi="Times New Roman" w:cs="Times New Roman" w:hint="default"/>
      </w:rPr>
    </w:lvl>
    <w:lvl w:ilvl="1" w:tplc="B738861C">
      <w:numFmt w:val="bullet"/>
      <w:pStyle w:val="2"/>
      <w:lvlText w:val="-"/>
      <w:lvlJc w:val="left"/>
      <w:pPr>
        <w:tabs>
          <w:tab w:val="num" w:pos="9244"/>
        </w:tabs>
        <w:ind w:left="92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4"/>
        </w:tabs>
        <w:ind w:left="9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594"/>
        </w:tabs>
        <w:ind w:left="10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14"/>
        </w:tabs>
        <w:ind w:left="11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34"/>
        </w:tabs>
        <w:ind w:left="12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54"/>
        </w:tabs>
        <w:ind w:left="12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474"/>
        </w:tabs>
        <w:ind w:left="13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194"/>
        </w:tabs>
        <w:ind w:left="14194" w:hanging="360"/>
      </w:pPr>
      <w:rPr>
        <w:rFonts w:ascii="Wingdings" w:hAnsi="Wingdings" w:hint="default"/>
      </w:rPr>
    </w:lvl>
  </w:abstractNum>
  <w:abstractNum w:abstractNumId="6" w15:restartNumberingAfterBreak="0">
    <w:nsid w:val="21A611A2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04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18488F"/>
    <w:multiLevelType w:val="multilevel"/>
    <w:tmpl w:val="05387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DBC3466"/>
    <w:multiLevelType w:val="multilevel"/>
    <w:tmpl w:val="B75E2C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6D007AC"/>
    <w:multiLevelType w:val="hybridMultilevel"/>
    <w:tmpl w:val="2F809C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545AD9"/>
    <w:multiLevelType w:val="hybridMultilevel"/>
    <w:tmpl w:val="9156F4DC"/>
    <w:lvl w:ilvl="0" w:tplc="0422000F">
      <w:start w:val="1"/>
      <w:numFmt w:val="decimal"/>
      <w:lvlText w:val="%1."/>
      <w:lvlJc w:val="left"/>
      <w:pPr>
        <w:ind w:left="2991" w:hanging="360"/>
      </w:pPr>
    </w:lvl>
    <w:lvl w:ilvl="1" w:tplc="04220019" w:tentative="1">
      <w:start w:val="1"/>
      <w:numFmt w:val="lowerLetter"/>
      <w:lvlText w:val="%2."/>
      <w:lvlJc w:val="left"/>
      <w:pPr>
        <w:ind w:left="3711" w:hanging="360"/>
      </w:pPr>
    </w:lvl>
    <w:lvl w:ilvl="2" w:tplc="0422001B" w:tentative="1">
      <w:start w:val="1"/>
      <w:numFmt w:val="lowerRoman"/>
      <w:lvlText w:val="%3."/>
      <w:lvlJc w:val="right"/>
      <w:pPr>
        <w:ind w:left="4431" w:hanging="180"/>
      </w:pPr>
    </w:lvl>
    <w:lvl w:ilvl="3" w:tplc="0422000F" w:tentative="1">
      <w:start w:val="1"/>
      <w:numFmt w:val="decimal"/>
      <w:lvlText w:val="%4."/>
      <w:lvlJc w:val="left"/>
      <w:pPr>
        <w:ind w:left="5151" w:hanging="360"/>
      </w:pPr>
    </w:lvl>
    <w:lvl w:ilvl="4" w:tplc="04220019" w:tentative="1">
      <w:start w:val="1"/>
      <w:numFmt w:val="lowerLetter"/>
      <w:lvlText w:val="%5."/>
      <w:lvlJc w:val="left"/>
      <w:pPr>
        <w:ind w:left="5871" w:hanging="360"/>
      </w:pPr>
    </w:lvl>
    <w:lvl w:ilvl="5" w:tplc="0422001B" w:tentative="1">
      <w:start w:val="1"/>
      <w:numFmt w:val="lowerRoman"/>
      <w:lvlText w:val="%6."/>
      <w:lvlJc w:val="right"/>
      <w:pPr>
        <w:ind w:left="6591" w:hanging="180"/>
      </w:pPr>
    </w:lvl>
    <w:lvl w:ilvl="6" w:tplc="0422000F" w:tentative="1">
      <w:start w:val="1"/>
      <w:numFmt w:val="decimal"/>
      <w:lvlText w:val="%7."/>
      <w:lvlJc w:val="left"/>
      <w:pPr>
        <w:ind w:left="7311" w:hanging="360"/>
      </w:pPr>
    </w:lvl>
    <w:lvl w:ilvl="7" w:tplc="04220019" w:tentative="1">
      <w:start w:val="1"/>
      <w:numFmt w:val="lowerLetter"/>
      <w:lvlText w:val="%8."/>
      <w:lvlJc w:val="left"/>
      <w:pPr>
        <w:ind w:left="8031" w:hanging="360"/>
      </w:pPr>
    </w:lvl>
    <w:lvl w:ilvl="8" w:tplc="0422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12" w15:restartNumberingAfterBreak="0">
    <w:nsid w:val="386D6556"/>
    <w:multiLevelType w:val="hybridMultilevel"/>
    <w:tmpl w:val="C6B4787A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9237723"/>
    <w:multiLevelType w:val="multilevel"/>
    <w:tmpl w:val="952C46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57E1140C"/>
    <w:multiLevelType w:val="hybridMultilevel"/>
    <w:tmpl w:val="6346F2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0F0098"/>
    <w:multiLevelType w:val="multilevel"/>
    <w:tmpl w:val="EDC2BE7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69D73729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189B"/>
    <w:multiLevelType w:val="multilevel"/>
    <w:tmpl w:val="5512E4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0FB1535"/>
    <w:multiLevelType w:val="multilevel"/>
    <w:tmpl w:val="8EF260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748A310F"/>
    <w:multiLevelType w:val="multilevel"/>
    <w:tmpl w:val="A5009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103181">
    <w:abstractNumId w:val="0"/>
  </w:num>
  <w:num w:numId="2" w16cid:durableId="417990395">
    <w:abstractNumId w:val="1"/>
  </w:num>
  <w:num w:numId="3" w16cid:durableId="907378105">
    <w:abstractNumId w:val="5"/>
  </w:num>
  <w:num w:numId="4" w16cid:durableId="2108578098">
    <w:abstractNumId w:val="8"/>
  </w:num>
  <w:num w:numId="5" w16cid:durableId="1407219914">
    <w:abstractNumId w:val="3"/>
  </w:num>
  <w:num w:numId="6" w16cid:durableId="1671518308">
    <w:abstractNumId w:val="17"/>
  </w:num>
  <w:num w:numId="7" w16cid:durableId="629046733">
    <w:abstractNumId w:val="19"/>
  </w:num>
  <w:num w:numId="8" w16cid:durableId="1394045083">
    <w:abstractNumId w:val="10"/>
  </w:num>
  <w:num w:numId="9" w16cid:durableId="1071080215">
    <w:abstractNumId w:val="2"/>
  </w:num>
  <w:num w:numId="10" w16cid:durableId="941498850">
    <w:abstractNumId w:val="6"/>
  </w:num>
  <w:num w:numId="11" w16cid:durableId="1400905361">
    <w:abstractNumId w:val="11"/>
  </w:num>
  <w:num w:numId="12" w16cid:durableId="992099752">
    <w:abstractNumId w:val="12"/>
  </w:num>
  <w:num w:numId="13" w16cid:durableId="1077241647">
    <w:abstractNumId w:val="7"/>
  </w:num>
  <w:num w:numId="14" w16cid:durableId="1565411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8236163">
    <w:abstractNumId w:val="8"/>
  </w:num>
  <w:num w:numId="16" w16cid:durableId="1841121298">
    <w:abstractNumId w:val="8"/>
  </w:num>
  <w:num w:numId="17" w16cid:durableId="1713457286">
    <w:abstractNumId w:val="8"/>
  </w:num>
  <w:num w:numId="18" w16cid:durableId="1999189689">
    <w:abstractNumId w:val="8"/>
  </w:num>
  <w:num w:numId="19" w16cid:durableId="269119429">
    <w:abstractNumId w:val="8"/>
  </w:num>
  <w:num w:numId="20" w16cid:durableId="212892269">
    <w:abstractNumId w:val="8"/>
  </w:num>
  <w:num w:numId="21" w16cid:durableId="960263904">
    <w:abstractNumId w:val="8"/>
  </w:num>
  <w:num w:numId="22" w16cid:durableId="343942167">
    <w:abstractNumId w:val="8"/>
  </w:num>
  <w:num w:numId="23" w16cid:durableId="2102337903">
    <w:abstractNumId w:val="8"/>
  </w:num>
  <w:num w:numId="24" w16cid:durableId="478496115">
    <w:abstractNumId w:val="8"/>
  </w:num>
  <w:num w:numId="25" w16cid:durableId="104426658">
    <w:abstractNumId w:val="8"/>
  </w:num>
  <w:num w:numId="26" w16cid:durableId="1927152088">
    <w:abstractNumId w:val="8"/>
  </w:num>
  <w:num w:numId="27" w16cid:durableId="98844377">
    <w:abstractNumId w:val="16"/>
  </w:num>
  <w:num w:numId="28" w16cid:durableId="44567425">
    <w:abstractNumId w:val="8"/>
  </w:num>
  <w:num w:numId="29" w16cid:durableId="1546715379">
    <w:abstractNumId w:val="8"/>
  </w:num>
  <w:num w:numId="30" w16cid:durableId="238753755">
    <w:abstractNumId w:val="8"/>
  </w:num>
  <w:num w:numId="31" w16cid:durableId="798643628">
    <w:abstractNumId w:val="8"/>
  </w:num>
  <w:num w:numId="32" w16cid:durableId="1375538032">
    <w:abstractNumId w:val="8"/>
  </w:num>
  <w:num w:numId="33" w16cid:durableId="229460708">
    <w:abstractNumId w:val="8"/>
  </w:num>
  <w:num w:numId="34" w16cid:durableId="135685385">
    <w:abstractNumId w:val="8"/>
  </w:num>
  <w:num w:numId="35" w16cid:durableId="1830704081">
    <w:abstractNumId w:val="4"/>
  </w:num>
  <w:num w:numId="36" w16cid:durableId="1170096667">
    <w:abstractNumId w:val="14"/>
  </w:num>
  <w:num w:numId="37" w16cid:durableId="935089331">
    <w:abstractNumId w:val="15"/>
  </w:num>
  <w:num w:numId="38" w16cid:durableId="356857741">
    <w:abstractNumId w:val="13"/>
  </w:num>
  <w:num w:numId="39" w16cid:durableId="1622299222">
    <w:abstractNumId w:val="8"/>
  </w:num>
  <w:num w:numId="40" w16cid:durableId="1240022446">
    <w:abstractNumId w:val="8"/>
  </w:num>
  <w:num w:numId="41" w16cid:durableId="924801724">
    <w:abstractNumId w:val="18"/>
  </w:num>
  <w:num w:numId="42" w16cid:durableId="690837855">
    <w:abstractNumId w:val="9"/>
  </w:num>
  <w:num w:numId="43" w16cid:durableId="4134752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1A"/>
    <w:rsid w:val="000016F3"/>
    <w:rsid w:val="00001EA9"/>
    <w:rsid w:val="00003577"/>
    <w:rsid w:val="000066BF"/>
    <w:rsid w:val="00010425"/>
    <w:rsid w:val="0001157B"/>
    <w:rsid w:val="000116EF"/>
    <w:rsid w:val="00012837"/>
    <w:rsid w:val="00012BC6"/>
    <w:rsid w:val="00013EBD"/>
    <w:rsid w:val="00015A2F"/>
    <w:rsid w:val="00016AA1"/>
    <w:rsid w:val="00016B67"/>
    <w:rsid w:val="00020E5E"/>
    <w:rsid w:val="00021269"/>
    <w:rsid w:val="00023463"/>
    <w:rsid w:val="00023522"/>
    <w:rsid w:val="000246DC"/>
    <w:rsid w:val="00024707"/>
    <w:rsid w:val="0002578C"/>
    <w:rsid w:val="00027BFA"/>
    <w:rsid w:val="00030911"/>
    <w:rsid w:val="00031285"/>
    <w:rsid w:val="000318F7"/>
    <w:rsid w:val="00032AAA"/>
    <w:rsid w:val="000340BB"/>
    <w:rsid w:val="00035B53"/>
    <w:rsid w:val="0004014F"/>
    <w:rsid w:val="000403F8"/>
    <w:rsid w:val="000411E9"/>
    <w:rsid w:val="000418C9"/>
    <w:rsid w:val="00042EA3"/>
    <w:rsid w:val="00042F92"/>
    <w:rsid w:val="000446C8"/>
    <w:rsid w:val="00045C5E"/>
    <w:rsid w:val="00046255"/>
    <w:rsid w:val="00046B00"/>
    <w:rsid w:val="0005060F"/>
    <w:rsid w:val="00050FA2"/>
    <w:rsid w:val="000531EA"/>
    <w:rsid w:val="00055E3D"/>
    <w:rsid w:val="00056420"/>
    <w:rsid w:val="00057017"/>
    <w:rsid w:val="00060858"/>
    <w:rsid w:val="00060AAA"/>
    <w:rsid w:val="0006144C"/>
    <w:rsid w:val="00061CF4"/>
    <w:rsid w:val="000630ED"/>
    <w:rsid w:val="000635F7"/>
    <w:rsid w:val="00063BBB"/>
    <w:rsid w:val="00064623"/>
    <w:rsid w:val="000700A2"/>
    <w:rsid w:val="00071251"/>
    <w:rsid w:val="00072909"/>
    <w:rsid w:val="00072C25"/>
    <w:rsid w:val="00073351"/>
    <w:rsid w:val="000733B6"/>
    <w:rsid w:val="00074851"/>
    <w:rsid w:val="00075E2B"/>
    <w:rsid w:val="000762C8"/>
    <w:rsid w:val="00077C82"/>
    <w:rsid w:val="0008254F"/>
    <w:rsid w:val="00082AF2"/>
    <w:rsid w:val="00082C9D"/>
    <w:rsid w:val="0008358E"/>
    <w:rsid w:val="0008463C"/>
    <w:rsid w:val="000876B6"/>
    <w:rsid w:val="00087DB7"/>
    <w:rsid w:val="000907D6"/>
    <w:rsid w:val="00093F11"/>
    <w:rsid w:val="000944DE"/>
    <w:rsid w:val="00095FCB"/>
    <w:rsid w:val="00097508"/>
    <w:rsid w:val="00097899"/>
    <w:rsid w:val="000A045D"/>
    <w:rsid w:val="000A10E3"/>
    <w:rsid w:val="000A2435"/>
    <w:rsid w:val="000A28C0"/>
    <w:rsid w:val="000A2EC4"/>
    <w:rsid w:val="000A3CB3"/>
    <w:rsid w:val="000A4564"/>
    <w:rsid w:val="000A47AF"/>
    <w:rsid w:val="000A4BC1"/>
    <w:rsid w:val="000A5AFF"/>
    <w:rsid w:val="000A6A6F"/>
    <w:rsid w:val="000B2332"/>
    <w:rsid w:val="000B324F"/>
    <w:rsid w:val="000B338F"/>
    <w:rsid w:val="000B35D5"/>
    <w:rsid w:val="000B3E41"/>
    <w:rsid w:val="000B522D"/>
    <w:rsid w:val="000B586E"/>
    <w:rsid w:val="000B5E4B"/>
    <w:rsid w:val="000B6677"/>
    <w:rsid w:val="000C2558"/>
    <w:rsid w:val="000C382B"/>
    <w:rsid w:val="000C5167"/>
    <w:rsid w:val="000C62E1"/>
    <w:rsid w:val="000D4085"/>
    <w:rsid w:val="000D4225"/>
    <w:rsid w:val="000D4CC1"/>
    <w:rsid w:val="000D56E5"/>
    <w:rsid w:val="000D5A68"/>
    <w:rsid w:val="000D5F9C"/>
    <w:rsid w:val="000D6757"/>
    <w:rsid w:val="000D6D4B"/>
    <w:rsid w:val="000D6F4A"/>
    <w:rsid w:val="000D78E9"/>
    <w:rsid w:val="000E0A7A"/>
    <w:rsid w:val="000E122C"/>
    <w:rsid w:val="000E29F3"/>
    <w:rsid w:val="000E3801"/>
    <w:rsid w:val="000E3A63"/>
    <w:rsid w:val="000E4231"/>
    <w:rsid w:val="000E5267"/>
    <w:rsid w:val="000E57BB"/>
    <w:rsid w:val="000E7AA8"/>
    <w:rsid w:val="000F047B"/>
    <w:rsid w:val="000F051E"/>
    <w:rsid w:val="000F17CF"/>
    <w:rsid w:val="000F1814"/>
    <w:rsid w:val="000F1FE8"/>
    <w:rsid w:val="000F3418"/>
    <w:rsid w:val="000F3D7F"/>
    <w:rsid w:val="000F6DA7"/>
    <w:rsid w:val="0010049D"/>
    <w:rsid w:val="00100E1D"/>
    <w:rsid w:val="0010333E"/>
    <w:rsid w:val="00105A87"/>
    <w:rsid w:val="0010754C"/>
    <w:rsid w:val="001075E9"/>
    <w:rsid w:val="00110ABF"/>
    <w:rsid w:val="001119A0"/>
    <w:rsid w:val="00112C68"/>
    <w:rsid w:val="00113C53"/>
    <w:rsid w:val="0011444F"/>
    <w:rsid w:val="001148C2"/>
    <w:rsid w:val="00115713"/>
    <w:rsid w:val="00116B0E"/>
    <w:rsid w:val="00117403"/>
    <w:rsid w:val="00117B66"/>
    <w:rsid w:val="00121380"/>
    <w:rsid w:val="001247E0"/>
    <w:rsid w:val="00125A19"/>
    <w:rsid w:val="00126E91"/>
    <w:rsid w:val="001278BB"/>
    <w:rsid w:val="00132CA8"/>
    <w:rsid w:val="00133D7F"/>
    <w:rsid w:val="00134AB7"/>
    <w:rsid w:val="00134ED2"/>
    <w:rsid w:val="00136EDD"/>
    <w:rsid w:val="001377BB"/>
    <w:rsid w:val="00141F27"/>
    <w:rsid w:val="001424C7"/>
    <w:rsid w:val="00142E79"/>
    <w:rsid w:val="00143B6E"/>
    <w:rsid w:val="001448DD"/>
    <w:rsid w:val="00144B7F"/>
    <w:rsid w:val="00145A41"/>
    <w:rsid w:val="00145D83"/>
    <w:rsid w:val="00146963"/>
    <w:rsid w:val="001472AF"/>
    <w:rsid w:val="001475BA"/>
    <w:rsid w:val="001476A7"/>
    <w:rsid w:val="0014781E"/>
    <w:rsid w:val="00153E9C"/>
    <w:rsid w:val="00154914"/>
    <w:rsid w:val="00154F83"/>
    <w:rsid w:val="00155179"/>
    <w:rsid w:val="0015637B"/>
    <w:rsid w:val="001566CC"/>
    <w:rsid w:val="00160C88"/>
    <w:rsid w:val="0016240C"/>
    <w:rsid w:val="00162A67"/>
    <w:rsid w:val="0017001E"/>
    <w:rsid w:val="0017022C"/>
    <w:rsid w:val="00170A29"/>
    <w:rsid w:val="0017163E"/>
    <w:rsid w:val="00173E19"/>
    <w:rsid w:val="00175F58"/>
    <w:rsid w:val="001775DB"/>
    <w:rsid w:val="00177D4A"/>
    <w:rsid w:val="00180374"/>
    <w:rsid w:val="00182202"/>
    <w:rsid w:val="001823BD"/>
    <w:rsid w:val="0018283E"/>
    <w:rsid w:val="00183C8C"/>
    <w:rsid w:val="001842AB"/>
    <w:rsid w:val="00184CCC"/>
    <w:rsid w:val="001855BF"/>
    <w:rsid w:val="001866EF"/>
    <w:rsid w:val="00187D6D"/>
    <w:rsid w:val="0019240F"/>
    <w:rsid w:val="001930A9"/>
    <w:rsid w:val="001931F1"/>
    <w:rsid w:val="00194056"/>
    <w:rsid w:val="0019422F"/>
    <w:rsid w:val="001946E0"/>
    <w:rsid w:val="0019644D"/>
    <w:rsid w:val="001A1BB1"/>
    <w:rsid w:val="001A1DE4"/>
    <w:rsid w:val="001A21AF"/>
    <w:rsid w:val="001A2583"/>
    <w:rsid w:val="001A3761"/>
    <w:rsid w:val="001A3F26"/>
    <w:rsid w:val="001A45A0"/>
    <w:rsid w:val="001A7961"/>
    <w:rsid w:val="001B16C2"/>
    <w:rsid w:val="001B1F9D"/>
    <w:rsid w:val="001B2114"/>
    <w:rsid w:val="001B2EB6"/>
    <w:rsid w:val="001B3097"/>
    <w:rsid w:val="001B47B9"/>
    <w:rsid w:val="001B5993"/>
    <w:rsid w:val="001B7FB7"/>
    <w:rsid w:val="001C0158"/>
    <w:rsid w:val="001C02AE"/>
    <w:rsid w:val="001C17A5"/>
    <w:rsid w:val="001C1B6F"/>
    <w:rsid w:val="001C1CAE"/>
    <w:rsid w:val="001C2D42"/>
    <w:rsid w:val="001C41BA"/>
    <w:rsid w:val="001C514E"/>
    <w:rsid w:val="001C54ED"/>
    <w:rsid w:val="001C5A9A"/>
    <w:rsid w:val="001D05D8"/>
    <w:rsid w:val="001D064E"/>
    <w:rsid w:val="001D2B05"/>
    <w:rsid w:val="001D4F1E"/>
    <w:rsid w:val="001D5B36"/>
    <w:rsid w:val="001D6D0F"/>
    <w:rsid w:val="001D7BA5"/>
    <w:rsid w:val="001E0E45"/>
    <w:rsid w:val="001E5EAA"/>
    <w:rsid w:val="001E61DE"/>
    <w:rsid w:val="001E7A6D"/>
    <w:rsid w:val="001F1DDF"/>
    <w:rsid w:val="001F355A"/>
    <w:rsid w:val="001F5EBF"/>
    <w:rsid w:val="001F7376"/>
    <w:rsid w:val="001F75FD"/>
    <w:rsid w:val="00200B34"/>
    <w:rsid w:val="00201DFD"/>
    <w:rsid w:val="00201E45"/>
    <w:rsid w:val="00204E4F"/>
    <w:rsid w:val="00207F15"/>
    <w:rsid w:val="00212304"/>
    <w:rsid w:val="00212335"/>
    <w:rsid w:val="00212F4D"/>
    <w:rsid w:val="00213B96"/>
    <w:rsid w:val="00214C4C"/>
    <w:rsid w:val="00216C8E"/>
    <w:rsid w:val="002177C8"/>
    <w:rsid w:val="002249DE"/>
    <w:rsid w:val="0023274A"/>
    <w:rsid w:val="00234306"/>
    <w:rsid w:val="00234462"/>
    <w:rsid w:val="002362E1"/>
    <w:rsid w:val="00236FFA"/>
    <w:rsid w:val="00237183"/>
    <w:rsid w:val="00240A1E"/>
    <w:rsid w:val="002413E2"/>
    <w:rsid w:val="00241EE5"/>
    <w:rsid w:val="002446C4"/>
    <w:rsid w:val="00245DC6"/>
    <w:rsid w:val="00247A64"/>
    <w:rsid w:val="00247CB6"/>
    <w:rsid w:val="002508A4"/>
    <w:rsid w:val="00253CBE"/>
    <w:rsid w:val="0025426F"/>
    <w:rsid w:val="002577D3"/>
    <w:rsid w:val="002578B9"/>
    <w:rsid w:val="002654E6"/>
    <w:rsid w:val="00265D1F"/>
    <w:rsid w:val="002671B7"/>
    <w:rsid w:val="00272573"/>
    <w:rsid w:val="0027365B"/>
    <w:rsid w:val="00275C4A"/>
    <w:rsid w:val="0027601F"/>
    <w:rsid w:val="00276B96"/>
    <w:rsid w:val="0028129D"/>
    <w:rsid w:val="0028145B"/>
    <w:rsid w:val="00281D25"/>
    <w:rsid w:val="002836C1"/>
    <w:rsid w:val="00283A0E"/>
    <w:rsid w:val="00286C14"/>
    <w:rsid w:val="00287F4B"/>
    <w:rsid w:val="002914E5"/>
    <w:rsid w:val="0029210C"/>
    <w:rsid w:val="00292C04"/>
    <w:rsid w:val="00292D8F"/>
    <w:rsid w:val="00294C23"/>
    <w:rsid w:val="0029534B"/>
    <w:rsid w:val="00296A9B"/>
    <w:rsid w:val="002A0FC1"/>
    <w:rsid w:val="002A15E5"/>
    <w:rsid w:val="002A3DD4"/>
    <w:rsid w:val="002A40FF"/>
    <w:rsid w:val="002A4187"/>
    <w:rsid w:val="002A431D"/>
    <w:rsid w:val="002A4460"/>
    <w:rsid w:val="002A498E"/>
    <w:rsid w:val="002A5705"/>
    <w:rsid w:val="002A6678"/>
    <w:rsid w:val="002A748B"/>
    <w:rsid w:val="002A7B33"/>
    <w:rsid w:val="002B0A12"/>
    <w:rsid w:val="002B0B34"/>
    <w:rsid w:val="002B1C04"/>
    <w:rsid w:val="002B269A"/>
    <w:rsid w:val="002B2B82"/>
    <w:rsid w:val="002B2F86"/>
    <w:rsid w:val="002B430F"/>
    <w:rsid w:val="002B446B"/>
    <w:rsid w:val="002B46D3"/>
    <w:rsid w:val="002B49B7"/>
    <w:rsid w:val="002B5CAD"/>
    <w:rsid w:val="002C1D60"/>
    <w:rsid w:val="002C3928"/>
    <w:rsid w:val="002C4CAD"/>
    <w:rsid w:val="002D2805"/>
    <w:rsid w:val="002D35FF"/>
    <w:rsid w:val="002D3A7A"/>
    <w:rsid w:val="002D481E"/>
    <w:rsid w:val="002D67B4"/>
    <w:rsid w:val="002D75C8"/>
    <w:rsid w:val="002E048F"/>
    <w:rsid w:val="002E092F"/>
    <w:rsid w:val="002E180E"/>
    <w:rsid w:val="002E1A31"/>
    <w:rsid w:val="002E2307"/>
    <w:rsid w:val="002E324D"/>
    <w:rsid w:val="002E34C1"/>
    <w:rsid w:val="002E3D49"/>
    <w:rsid w:val="002E772F"/>
    <w:rsid w:val="002F001E"/>
    <w:rsid w:val="002F26C5"/>
    <w:rsid w:val="002F7CBE"/>
    <w:rsid w:val="003008D7"/>
    <w:rsid w:val="00302378"/>
    <w:rsid w:val="00302C93"/>
    <w:rsid w:val="00303EEF"/>
    <w:rsid w:val="00305AD1"/>
    <w:rsid w:val="003062E8"/>
    <w:rsid w:val="0030654D"/>
    <w:rsid w:val="00310262"/>
    <w:rsid w:val="00312462"/>
    <w:rsid w:val="003126A1"/>
    <w:rsid w:val="003129FE"/>
    <w:rsid w:val="0031343E"/>
    <w:rsid w:val="00313857"/>
    <w:rsid w:val="00313AAB"/>
    <w:rsid w:val="00313D86"/>
    <w:rsid w:val="0031538E"/>
    <w:rsid w:val="00315725"/>
    <w:rsid w:val="003170CD"/>
    <w:rsid w:val="00317286"/>
    <w:rsid w:val="0031765D"/>
    <w:rsid w:val="003178FF"/>
    <w:rsid w:val="003202DF"/>
    <w:rsid w:val="00320A8B"/>
    <w:rsid w:val="0032106E"/>
    <w:rsid w:val="00321887"/>
    <w:rsid w:val="003222B7"/>
    <w:rsid w:val="0032279E"/>
    <w:rsid w:val="00324805"/>
    <w:rsid w:val="003264A8"/>
    <w:rsid w:val="00330509"/>
    <w:rsid w:val="00331611"/>
    <w:rsid w:val="00331987"/>
    <w:rsid w:val="00333525"/>
    <w:rsid w:val="00336725"/>
    <w:rsid w:val="00337006"/>
    <w:rsid w:val="003379E0"/>
    <w:rsid w:val="00342572"/>
    <w:rsid w:val="00344BA3"/>
    <w:rsid w:val="00347EE7"/>
    <w:rsid w:val="00351DD5"/>
    <w:rsid w:val="0035224E"/>
    <w:rsid w:val="003539C2"/>
    <w:rsid w:val="00355D09"/>
    <w:rsid w:val="003564FF"/>
    <w:rsid w:val="00360B14"/>
    <w:rsid w:val="00361A44"/>
    <w:rsid w:val="00362080"/>
    <w:rsid w:val="00362122"/>
    <w:rsid w:val="003637C7"/>
    <w:rsid w:val="0036587C"/>
    <w:rsid w:val="0036639C"/>
    <w:rsid w:val="00372B77"/>
    <w:rsid w:val="00372CF9"/>
    <w:rsid w:val="00373B31"/>
    <w:rsid w:val="00373C63"/>
    <w:rsid w:val="00373E5F"/>
    <w:rsid w:val="00375612"/>
    <w:rsid w:val="00375C80"/>
    <w:rsid w:val="00375F6D"/>
    <w:rsid w:val="003765C4"/>
    <w:rsid w:val="00377007"/>
    <w:rsid w:val="00377F41"/>
    <w:rsid w:val="0038085B"/>
    <w:rsid w:val="00380D50"/>
    <w:rsid w:val="00380E4F"/>
    <w:rsid w:val="00382C11"/>
    <w:rsid w:val="00382E74"/>
    <w:rsid w:val="003842CD"/>
    <w:rsid w:val="00384C0F"/>
    <w:rsid w:val="00384D8A"/>
    <w:rsid w:val="00385229"/>
    <w:rsid w:val="00385648"/>
    <w:rsid w:val="003864C9"/>
    <w:rsid w:val="0038778E"/>
    <w:rsid w:val="003925DC"/>
    <w:rsid w:val="003925E1"/>
    <w:rsid w:val="003929CD"/>
    <w:rsid w:val="00392B51"/>
    <w:rsid w:val="003945AE"/>
    <w:rsid w:val="00397D02"/>
    <w:rsid w:val="003A11AE"/>
    <w:rsid w:val="003A1339"/>
    <w:rsid w:val="003A2C12"/>
    <w:rsid w:val="003A2C42"/>
    <w:rsid w:val="003A2E10"/>
    <w:rsid w:val="003A453B"/>
    <w:rsid w:val="003A4D6B"/>
    <w:rsid w:val="003A6879"/>
    <w:rsid w:val="003A68F2"/>
    <w:rsid w:val="003A7C7B"/>
    <w:rsid w:val="003B10B2"/>
    <w:rsid w:val="003B13E1"/>
    <w:rsid w:val="003B23B9"/>
    <w:rsid w:val="003B6619"/>
    <w:rsid w:val="003B6EC9"/>
    <w:rsid w:val="003B7A05"/>
    <w:rsid w:val="003C2306"/>
    <w:rsid w:val="003C3FF4"/>
    <w:rsid w:val="003C4F88"/>
    <w:rsid w:val="003C68F6"/>
    <w:rsid w:val="003C7D8F"/>
    <w:rsid w:val="003C7E65"/>
    <w:rsid w:val="003D262D"/>
    <w:rsid w:val="003D273D"/>
    <w:rsid w:val="003D59BB"/>
    <w:rsid w:val="003D64A5"/>
    <w:rsid w:val="003D6B0F"/>
    <w:rsid w:val="003D7202"/>
    <w:rsid w:val="003D7361"/>
    <w:rsid w:val="003D7C2D"/>
    <w:rsid w:val="003E06EC"/>
    <w:rsid w:val="003E0ED5"/>
    <w:rsid w:val="003E6030"/>
    <w:rsid w:val="003E7B5B"/>
    <w:rsid w:val="003F0B14"/>
    <w:rsid w:val="003F3741"/>
    <w:rsid w:val="003F5092"/>
    <w:rsid w:val="003F57FD"/>
    <w:rsid w:val="003F693E"/>
    <w:rsid w:val="003F7071"/>
    <w:rsid w:val="00401550"/>
    <w:rsid w:val="00401CC9"/>
    <w:rsid w:val="00401F6A"/>
    <w:rsid w:val="00402BF6"/>
    <w:rsid w:val="004057C8"/>
    <w:rsid w:val="00410179"/>
    <w:rsid w:val="00411395"/>
    <w:rsid w:val="004120E9"/>
    <w:rsid w:val="00412F2C"/>
    <w:rsid w:val="00413A1D"/>
    <w:rsid w:val="0041520F"/>
    <w:rsid w:val="0041594C"/>
    <w:rsid w:val="00416C1A"/>
    <w:rsid w:val="00417503"/>
    <w:rsid w:val="00423EB5"/>
    <w:rsid w:val="004257D8"/>
    <w:rsid w:val="00426712"/>
    <w:rsid w:val="00427977"/>
    <w:rsid w:val="00430754"/>
    <w:rsid w:val="004336C5"/>
    <w:rsid w:val="00433C88"/>
    <w:rsid w:val="004350E4"/>
    <w:rsid w:val="00437690"/>
    <w:rsid w:val="00442CEF"/>
    <w:rsid w:val="00443D75"/>
    <w:rsid w:val="0044766F"/>
    <w:rsid w:val="0045025C"/>
    <w:rsid w:val="00452B2E"/>
    <w:rsid w:val="004544AD"/>
    <w:rsid w:val="004545C3"/>
    <w:rsid w:val="00454FC8"/>
    <w:rsid w:val="00455848"/>
    <w:rsid w:val="004561D3"/>
    <w:rsid w:val="00456818"/>
    <w:rsid w:val="00457305"/>
    <w:rsid w:val="0045773E"/>
    <w:rsid w:val="00461826"/>
    <w:rsid w:val="0046202F"/>
    <w:rsid w:val="0046607D"/>
    <w:rsid w:val="00466E1E"/>
    <w:rsid w:val="00467187"/>
    <w:rsid w:val="004673BF"/>
    <w:rsid w:val="00470A07"/>
    <w:rsid w:val="00473D90"/>
    <w:rsid w:val="00474A58"/>
    <w:rsid w:val="004767B7"/>
    <w:rsid w:val="0048075B"/>
    <w:rsid w:val="00481811"/>
    <w:rsid w:val="00482D33"/>
    <w:rsid w:val="0048312A"/>
    <w:rsid w:val="004834FE"/>
    <w:rsid w:val="0048555E"/>
    <w:rsid w:val="00486692"/>
    <w:rsid w:val="00491355"/>
    <w:rsid w:val="00491762"/>
    <w:rsid w:val="004922EA"/>
    <w:rsid w:val="00492484"/>
    <w:rsid w:val="00492B63"/>
    <w:rsid w:val="00493BC6"/>
    <w:rsid w:val="004948E9"/>
    <w:rsid w:val="00495A4E"/>
    <w:rsid w:val="00495A78"/>
    <w:rsid w:val="00495CC8"/>
    <w:rsid w:val="00497E49"/>
    <w:rsid w:val="004A3043"/>
    <w:rsid w:val="004A464B"/>
    <w:rsid w:val="004A4CF5"/>
    <w:rsid w:val="004A5924"/>
    <w:rsid w:val="004A5949"/>
    <w:rsid w:val="004A59AC"/>
    <w:rsid w:val="004B26C2"/>
    <w:rsid w:val="004B52AC"/>
    <w:rsid w:val="004B5BAE"/>
    <w:rsid w:val="004B673A"/>
    <w:rsid w:val="004C015F"/>
    <w:rsid w:val="004C03B4"/>
    <w:rsid w:val="004C0525"/>
    <w:rsid w:val="004C1266"/>
    <w:rsid w:val="004C14A7"/>
    <w:rsid w:val="004C1BCF"/>
    <w:rsid w:val="004C25FC"/>
    <w:rsid w:val="004C3262"/>
    <w:rsid w:val="004C4655"/>
    <w:rsid w:val="004C5265"/>
    <w:rsid w:val="004C6635"/>
    <w:rsid w:val="004C72F7"/>
    <w:rsid w:val="004D4476"/>
    <w:rsid w:val="004D4AF7"/>
    <w:rsid w:val="004D54C8"/>
    <w:rsid w:val="004D633F"/>
    <w:rsid w:val="004E2069"/>
    <w:rsid w:val="004E41A3"/>
    <w:rsid w:val="004E4527"/>
    <w:rsid w:val="004F1CA0"/>
    <w:rsid w:val="004F46B9"/>
    <w:rsid w:val="004F7D67"/>
    <w:rsid w:val="00501168"/>
    <w:rsid w:val="0050152B"/>
    <w:rsid w:val="005036DE"/>
    <w:rsid w:val="005037F4"/>
    <w:rsid w:val="00503F6C"/>
    <w:rsid w:val="00505691"/>
    <w:rsid w:val="00505DEC"/>
    <w:rsid w:val="00506299"/>
    <w:rsid w:val="005110AA"/>
    <w:rsid w:val="00511BB0"/>
    <w:rsid w:val="0051288B"/>
    <w:rsid w:val="0051295D"/>
    <w:rsid w:val="005200B4"/>
    <w:rsid w:val="0052106E"/>
    <w:rsid w:val="00521A50"/>
    <w:rsid w:val="00521AC0"/>
    <w:rsid w:val="00521D57"/>
    <w:rsid w:val="0052274B"/>
    <w:rsid w:val="00524E4C"/>
    <w:rsid w:val="00525025"/>
    <w:rsid w:val="00526E98"/>
    <w:rsid w:val="0052733A"/>
    <w:rsid w:val="005301F1"/>
    <w:rsid w:val="00530359"/>
    <w:rsid w:val="005317B7"/>
    <w:rsid w:val="00532F3C"/>
    <w:rsid w:val="00533A9C"/>
    <w:rsid w:val="005372EC"/>
    <w:rsid w:val="00546096"/>
    <w:rsid w:val="00546C83"/>
    <w:rsid w:val="00547A3B"/>
    <w:rsid w:val="0055080A"/>
    <w:rsid w:val="0055085D"/>
    <w:rsid w:val="00550B16"/>
    <w:rsid w:val="00551BBB"/>
    <w:rsid w:val="00552164"/>
    <w:rsid w:val="005521C1"/>
    <w:rsid w:val="00552D88"/>
    <w:rsid w:val="005545F6"/>
    <w:rsid w:val="005557EA"/>
    <w:rsid w:val="00556702"/>
    <w:rsid w:val="00557628"/>
    <w:rsid w:val="005578A8"/>
    <w:rsid w:val="005578EB"/>
    <w:rsid w:val="00557F3C"/>
    <w:rsid w:val="00560B4B"/>
    <w:rsid w:val="00564BAC"/>
    <w:rsid w:val="00570D15"/>
    <w:rsid w:val="00570F96"/>
    <w:rsid w:val="0057404D"/>
    <w:rsid w:val="00575D3E"/>
    <w:rsid w:val="00582574"/>
    <w:rsid w:val="00582A2F"/>
    <w:rsid w:val="00583242"/>
    <w:rsid w:val="00583CBF"/>
    <w:rsid w:val="005851BB"/>
    <w:rsid w:val="005855C0"/>
    <w:rsid w:val="00585913"/>
    <w:rsid w:val="00587487"/>
    <w:rsid w:val="00587B04"/>
    <w:rsid w:val="00590EA8"/>
    <w:rsid w:val="005928B4"/>
    <w:rsid w:val="00593DAF"/>
    <w:rsid w:val="00594918"/>
    <w:rsid w:val="005951A9"/>
    <w:rsid w:val="00595FDD"/>
    <w:rsid w:val="005A0897"/>
    <w:rsid w:val="005A0A35"/>
    <w:rsid w:val="005A24CA"/>
    <w:rsid w:val="005A51D6"/>
    <w:rsid w:val="005A7207"/>
    <w:rsid w:val="005A7D94"/>
    <w:rsid w:val="005B00E5"/>
    <w:rsid w:val="005B188A"/>
    <w:rsid w:val="005B19A4"/>
    <w:rsid w:val="005B2365"/>
    <w:rsid w:val="005B25BF"/>
    <w:rsid w:val="005B4EA7"/>
    <w:rsid w:val="005B54C2"/>
    <w:rsid w:val="005C23B3"/>
    <w:rsid w:val="005C2523"/>
    <w:rsid w:val="005C2C9D"/>
    <w:rsid w:val="005C37CC"/>
    <w:rsid w:val="005C3E4C"/>
    <w:rsid w:val="005C3E4D"/>
    <w:rsid w:val="005C6343"/>
    <w:rsid w:val="005C6423"/>
    <w:rsid w:val="005D1A2D"/>
    <w:rsid w:val="005D3DDB"/>
    <w:rsid w:val="005D43E8"/>
    <w:rsid w:val="005D43F2"/>
    <w:rsid w:val="005D4C8F"/>
    <w:rsid w:val="005D74EB"/>
    <w:rsid w:val="005E0D03"/>
    <w:rsid w:val="005E3753"/>
    <w:rsid w:val="005E42CB"/>
    <w:rsid w:val="005E6A7D"/>
    <w:rsid w:val="005F25E0"/>
    <w:rsid w:val="005F2CC4"/>
    <w:rsid w:val="005F47FE"/>
    <w:rsid w:val="005F4F9F"/>
    <w:rsid w:val="005F73A1"/>
    <w:rsid w:val="00600631"/>
    <w:rsid w:val="00600CAB"/>
    <w:rsid w:val="00600D10"/>
    <w:rsid w:val="00600F8F"/>
    <w:rsid w:val="00605623"/>
    <w:rsid w:val="006063D5"/>
    <w:rsid w:val="00606DCF"/>
    <w:rsid w:val="00607171"/>
    <w:rsid w:val="006113E2"/>
    <w:rsid w:val="00611916"/>
    <w:rsid w:val="00612658"/>
    <w:rsid w:val="00612C37"/>
    <w:rsid w:val="00613BD7"/>
    <w:rsid w:val="0061404E"/>
    <w:rsid w:val="0061411C"/>
    <w:rsid w:val="0061493C"/>
    <w:rsid w:val="00621BBC"/>
    <w:rsid w:val="00623AE5"/>
    <w:rsid w:val="00624342"/>
    <w:rsid w:val="00625771"/>
    <w:rsid w:val="00625923"/>
    <w:rsid w:val="006265AA"/>
    <w:rsid w:val="00626757"/>
    <w:rsid w:val="006278ED"/>
    <w:rsid w:val="006327CD"/>
    <w:rsid w:val="006337B5"/>
    <w:rsid w:val="00634DFE"/>
    <w:rsid w:val="00637181"/>
    <w:rsid w:val="0063760A"/>
    <w:rsid w:val="006403AE"/>
    <w:rsid w:val="00642ADD"/>
    <w:rsid w:val="0064401C"/>
    <w:rsid w:val="006447E5"/>
    <w:rsid w:val="00645803"/>
    <w:rsid w:val="006520F7"/>
    <w:rsid w:val="006523E9"/>
    <w:rsid w:val="00652631"/>
    <w:rsid w:val="00652B38"/>
    <w:rsid w:val="006538F5"/>
    <w:rsid w:val="006551E9"/>
    <w:rsid w:val="006569E0"/>
    <w:rsid w:val="00656C6D"/>
    <w:rsid w:val="006570BF"/>
    <w:rsid w:val="006571DB"/>
    <w:rsid w:val="00657C96"/>
    <w:rsid w:val="00660686"/>
    <w:rsid w:val="0066307C"/>
    <w:rsid w:val="006642B2"/>
    <w:rsid w:val="006671C4"/>
    <w:rsid w:val="00667DF7"/>
    <w:rsid w:val="00671D45"/>
    <w:rsid w:val="00673BDA"/>
    <w:rsid w:val="006747EB"/>
    <w:rsid w:val="00675678"/>
    <w:rsid w:val="006758AB"/>
    <w:rsid w:val="00675ECA"/>
    <w:rsid w:val="0067661F"/>
    <w:rsid w:val="00677520"/>
    <w:rsid w:val="00680502"/>
    <w:rsid w:val="0068052D"/>
    <w:rsid w:val="00681302"/>
    <w:rsid w:val="006830E7"/>
    <w:rsid w:val="0068321D"/>
    <w:rsid w:val="006842E1"/>
    <w:rsid w:val="006846D0"/>
    <w:rsid w:val="00684725"/>
    <w:rsid w:val="006861D7"/>
    <w:rsid w:val="00693FD8"/>
    <w:rsid w:val="00694775"/>
    <w:rsid w:val="0069480D"/>
    <w:rsid w:val="00695D7D"/>
    <w:rsid w:val="00695E23"/>
    <w:rsid w:val="00696345"/>
    <w:rsid w:val="0069653D"/>
    <w:rsid w:val="006A0890"/>
    <w:rsid w:val="006A3418"/>
    <w:rsid w:val="006A3B54"/>
    <w:rsid w:val="006A43BA"/>
    <w:rsid w:val="006A6408"/>
    <w:rsid w:val="006B0580"/>
    <w:rsid w:val="006B2F80"/>
    <w:rsid w:val="006B3953"/>
    <w:rsid w:val="006B47F8"/>
    <w:rsid w:val="006B48A2"/>
    <w:rsid w:val="006B5117"/>
    <w:rsid w:val="006B5D77"/>
    <w:rsid w:val="006B5DB6"/>
    <w:rsid w:val="006B780C"/>
    <w:rsid w:val="006B79F5"/>
    <w:rsid w:val="006C0FDF"/>
    <w:rsid w:val="006C2793"/>
    <w:rsid w:val="006C2DF4"/>
    <w:rsid w:val="006C49F2"/>
    <w:rsid w:val="006C5D5B"/>
    <w:rsid w:val="006D1671"/>
    <w:rsid w:val="006D3920"/>
    <w:rsid w:val="006D48F8"/>
    <w:rsid w:val="006D4B62"/>
    <w:rsid w:val="006D675A"/>
    <w:rsid w:val="006D6F89"/>
    <w:rsid w:val="006D7740"/>
    <w:rsid w:val="006E207A"/>
    <w:rsid w:val="006E2538"/>
    <w:rsid w:val="006E4CD3"/>
    <w:rsid w:val="006E5ABE"/>
    <w:rsid w:val="006E6E0F"/>
    <w:rsid w:val="006F1AA8"/>
    <w:rsid w:val="006F297C"/>
    <w:rsid w:val="006F3293"/>
    <w:rsid w:val="006F5B54"/>
    <w:rsid w:val="006F5C78"/>
    <w:rsid w:val="006F5D71"/>
    <w:rsid w:val="007010AD"/>
    <w:rsid w:val="00701AF9"/>
    <w:rsid w:val="007020FD"/>
    <w:rsid w:val="00702AC7"/>
    <w:rsid w:val="00702B4B"/>
    <w:rsid w:val="0070365E"/>
    <w:rsid w:val="00705F7B"/>
    <w:rsid w:val="00707734"/>
    <w:rsid w:val="00707A55"/>
    <w:rsid w:val="00710C8F"/>
    <w:rsid w:val="00710D07"/>
    <w:rsid w:val="007112C5"/>
    <w:rsid w:val="0071439F"/>
    <w:rsid w:val="00714D63"/>
    <w:rsid w:val="00714F61"/>
    <w:rsid w:val="00715F4C"/>
    <w:rsid w:val="00717CC5"/>
    <w:rsid w:val="00720746"/>
    <w:rsid w:val="00720B94"/>
    <w:rsid w:val="00720BD3"/>
    <w:rsid w:val="00721FB0"/>
    <w:rsid w:val="00722B5B"/>
    <w:rsid w:val="00725695"/>
    <w:rsid w:val="007263B0"/>
    <w:rsid w:val="00726C31"/>
    <w:rsid w:val="00727CCE"/>
    <w:rsid w:val="00732C5E"/>
    <w:rsid w:val="00734A1B"/>
    <w:rsid w:val="00737324"/>
    <w:rsid w:val="00742BF2"/>
    <w:rsid w:val="00743E27"/>
    <w:rsid w:val="00744371"/>
    <w:rsid w:val="007510B0"/>
    <w:rsid w:val="00754031"/>
    <w:rsid w:val="0075447A"/>
    <w:rsid w:val="00754C50"/>
    <w:rsid w:val="0075584C"/>
    <w:rsid w:val="00756470"/>
    <w:rsid w:val="00756AC8"/>
    <w:rsid w:val="00763A73"/>
    <w:rsid w:val="007658C4"/>
    <w:rsid w:val="007668C3"/>
    <w:rsid w:val="007674DD"/>
    <w:rsid w:val="00770981"/>
    <w:rsid w:val="00771802"/>
    <w:rsid w:val="00771860"/>
    <w:rsid w:val="00771B69"/>
    <w:rsid w:val="00771DF0"/>
    <w:rsid w:val="0077271A"/>
    <w:rsid w:val="0077276C"/>
    <w:rsid w:val="00772CAD"/>
    <w:rsid w:val="00773534"/>
    <w:rsid w:val="00773E68"/>
    <w:rsid w:val="00780AA2"/>
    <w:rsid w:val="00780B2F"/>
    <w:rsid w:val="00780C08"/>
    <w:rsid w:val="00780F91"/>
    <w:rsid w:val="00781A7C"/>
    <w:rsid w:val="00783452"/>
    <w:rsid w:val="00785DF7"/>
    <w:rsid w:val="007860F7"/>
    <w:rsid w:val="007864B8"/>
    <w:rsid w:val="007864D0"/>
    <w:rsid w:val="007866A6"/>
    <w:rsid w:val="00787E5C"/>
    <w:rsid w:val="007928A1"/>
    <w:rsid w:val="007934B4"/>
    <w:rsid w:val="00793DFA"/>
    <w:rsid w:val="00794729"/>
    <w:rsid w:val="00797669"/>
    <w:rsid w:val="007A0FAA"/>
    <w:rsid w:val="007A1DD2"/>
    <w:rsid w:val="007A20E1"/>
    <w:rsid w:val="007A2748"/>
    <w:rsid w:val="007A57E6"/>
    <w:rsid w:val="007A7AE9"/>
    <w:rsid w:val="007B070E"/>
    <w:rsid w:val="007B0CB3"/>
    <w:rsid w:val="007B3045"/>
    <w:rsid w:val="007B3758"/>
    <w:rsid w:val="007B4896"/>
    <w:rsid w:val="007B564D"/>
    <w:rsid w:val="007C01B0"/>
    <w:rsid w:val="007C20A2"/>
    <w:rsid w:val="007C225B"/>
    <w:rsid w:val="007C35F1"/>
    <w:rsid w:val="007C3BD5"/>
    <w:rsid w:val="007C4C3B"/>
    <w:rsid w:val="007C68B4"/>
    <w:rsid w:val="007C6BB7"/>
    <w:rsid w:val="007D0EC7"/>
    <w:rsid w:val="007D1176"/>
    <w:rsid w:val="007D134F"/>
    <w:rsid w:val="007D1A73"/>
    <w:rsid w:val="007D33B1"/>
    <w:rsid w:val="007D69E3"/>
    <w:rsid w:val="007D6B23"/>
    <w:rsid w:val="007D7879"/>
    <w:rsid w:val="007E030A"/>
    <w:rsid w:val="007E0AE1"/>
    <w:rsid w:val="007E53AC"/>
    <w:rsid w:val="007F2834"/>
    <w:rsid w:val="007F3F94"/>
    <w:rsid w:val="007F4368"/>
    <w:rsid w:val="007F45D2"/>
    <w:rsid w:val="007F685E"/>
    <w:rsid w:val="007F7195"/>
    <w:rsid w:val="00800916"/>
    <w:rsid w:val="0080178F"/>
    <w:rsid w:val="00801E71"/>
    <w:rsid w:val="00801F8E"/>
    <w:rsid w:val="00802D5F"/>
    <w:rsid w:val="00802F48"/>
    <w:rsid w:val="008039E2"/>
    <w:rsid w:val="0080612F"/>
    <w:rsid w:val="0080710C"/>
    <w:rsid w:val="0081079E"/>
    <w:rsid w:val="00810885"/>
    <w:rsid w:val="00810FC9"/>
    <w:rsid w:val="00811BA1"/>
    <w:rsid w:val="00813640"/>
    <w:rsid w:val="0081472A"/>
    <w:rsid w:val="00815105"/>
    <w:rsid w:val="00816367"/>
    <w:rsid w:val="00817E8B"/>
    <w:rsid w:val="00820A53"/>
    <w:rsid w:val="00820EC8"/>
    <w:rsid w:val="008213F0"/>
    <w:rsid w:val="0082243D"/>
    <w:rsid w:val="008245ED"/>
    <w:rsid w:val="0082525C"/>
    <w:rsid w:val="00825B53"/>
    <w:rsid w:val="00826C08"/>
    <w:rsid w:val="00830000"/>
    <w:rsid w:val="00831108"/>
    <w:rsid w:val="00831988"/>
    <w:rsid w:val="00831A8D"/>
    <w:rsid w:val="00831C5B"/>
    <w:rsid w:val="00834F8B"/>
    <w:rsid w:val="008358D6"/>
    <w:rsid w:val="008363B8"/>
    <w:rsid w:val="00836843"/>
    <w:rsid w:val="00844F13"/>
    <w:rsid w:val="0084509A"/>
    <w:rsid w:val="0084536E"/>
    <w:rsid w:val="0084595E"/>
    <w:rsid w:val="0084663C"/>
    <w:rsid w:val="00850FD5"/>
    <w:rsid w:val="00852589"/>
    <w:rsid w:val="008525D8"/>
    <w:rsid w:val="008535DD"/>
    <w:rsid w:val="008539A0"/>
    <w:rsid w:val="00855349"/>
    <w:rsid w:val="008564F2"/>
    <w:rsid w:val="008566ED"/>
    <w:rsid w:val="0085693B"/>
    <w:rsid w:val="00856A4A"/>
    <w:rsid w:val="00857F83"/>
    <w:rsid w:val="00860224"/>
    <w:rsid w:val="008612B2"/>
    <w:rsid w:val="00861DFE"/>
    <w:rsid w:val="008666BD"/>
    <w:rsid w:val="00867258"/>
    <w:rsid w:val="00870975"/>
    <w:rsid w:val="00870BB9"/>
    <w:rsid w:val="00871FE7"/>
    <w:rsid w:val="00872B58"/>
    <w:rsid w:val="008738B4"/>
    <w:rsid w:val="0087411D"/>
    <w:rsid w:val="00874B45"/>
    <w:rsid w:val="00875D3C"/>
    <w:rsid w:val="0087686F"/>
    <w:rsid w:val="00876C9E"/>
    <w:rsid w:val="00877EA4"/>
    <w:rsid w:val="008813CA"/>
    <w:rsid w:val="00887283"/>
    <w:rsid w:val="00887B9F"/>
    <w:rsid w:val="00890410"/>
    <w:rsid w:val="00890F09"/>
    <w:rsid w:val="00891391"/>
    <w:rsid w:val="00891B90"/>
    <w:rsid w:val="0089465D"/>
    <w:rsid w:val="0089492C"/>
    <w:rsid w:val="00897E8A"/>
    <w:rsid w:val="008A1D49"/>
    <w:rsid w:val="008A200F"/>
    <w:rsid w:val="008A20E0"/>
    <w:rsid w:val="008A2C7F"/>
    <w:rsid w:val="008A40FF"/>
    <w:rsid w:val="008A4FEB"/>
    <w:rsid w:val="008A59B5"/>
    <w:rsid w:val="008A6B2B"/>
    <w:rsid w:val="008A6EB9"/>
    <w:rsid w:val="008B00FB"/>
    <w:rsid w:val="008B083A"/>
    <w:rsid w:val="008B0CE1"/>
    <w:rsid w:val="008B17D3"/>
    <w:rsid w:val="008B1957"/>
    <w:rsid w:val="008B2EA9"/>
    <w:rsid w:val="008B6769"/>
    <w:rsid w:val="008B7C1E"/>
    <w:rsid w:val="008B7E79"/>
    <w:rsid w:val="008C1647"/>
    <w:rsid w:val="008C2C4C"/>
    <w:rsid w:val="008C438F"/>
    <w:rsid w:val="008C6052"/>
    <w:rsid w:val="008C6522"/>
    <w:rsid w:val="008C7FE8"/>
    <w:rsid w:val="008D0A6B"/>
    <w:rsid w:val="008D1C49"/>
    <w:rsid w:val="008D1E18"/>
    <w:rsid w:val="008D266C"/>
    <w:rsid w:val="008D3EAB"/>
    <w:rsid w:val="008D4AB2"/>
    <w:rsid w:val="008D5B54"/>
    <w:rsid w:val="008D626F"/>
    <w:rsid w:val="008D6858"/>
    <w:rsid w:val="008D7853"/>
    <w:rsid w:val="008D7AE6"/>
    <w:rsid w:val="008D7CD9"/>
    <w:rsid w:val="008E046C"/>
    <w:rsid w:val="008E2331"/>
    <w:rsid w:val="008E362A"/>
    <w:rsid w:val="008E45C4"/>
    <w:rsid w:val="008E508C"/>
    <w:rsid w:val="008E6B69"/>
    <w:rsid w:val="008F0779"/>
    <w:rsid w:val="008F1E67"/>
    <w:rsid w:val="008F28D2"/>
    <w:rsid w:val="008F42FF"/>
    <w:rsid w:val="008F4433"/>
    <w:rsid w:val="008F4CC2"/>
    <w:rsid w:val="008F5B79"/>
    <w:rsid w:val="008F5E0F"/>
    <w:rsid w:val="008F7E7E"/>
    <w:rsid w:val="00900FD2"/>
    <w:rsid w:val="0090359D"/>
    <w:rsid w:val="009049F3"/>
    <w:rsid w:val="00906104"/>
    <w:rsid w:val="00907CAC"/>
    <w:rsid w:val="00907EAC"/>
    <w:rsid w:val="00910208"/>
    <w:rsid w:val="0091044B"/>
    <w:rsid w:val="00910779"/>
    <w:rsid w:val="00910F41"/>
    <w:rsid w:val="00912601"/>
    <w:rsid w:val="009128C1"/>
    <w:rsid w:val="009212FF"/>
    <w:rsid w:val="00921A82"/>
    <w:rsid w:val="00921EC8"/>
    <w:rsid w:val="0092249F"/>
    <w:rsid w:val="00924D38"/>
    <w:rsid w:val="00925670"/>
    <w:rsid w:val="00925AFF"/>
    <w:rsid w:val="00926D71"/>
    <w:rsid w:val="00927CCB"/>
    <w:rsid w:val="00930A00"/>
    <w:rsid w:val="00931278"/>
    <w:rsid w:val="00933090"/>
    <w:rsid w:val="0093585D"/>
    <w:rsid w:val="00935B9D"/>
    <w:rsid w:val="0093623D"/>
    <w:rsid w:val="00936B83"/>
    <w:rsid w:val="00937AA2"/>
    <w:rsid w:val="0094106B"/>
    <w:rsid w:val="00942620"/>
    <w:rsid w:val="00943E9B"/>
    <w:rsid w:val="009458D5"/>
    <w:rsid w:val="00945ED2"/>
    <w:rsid w:val="009533DF"/>
    <w:rsid w:val="00960FEC"/>
    <w:rsid w:val="009631BA"/>
    <w:rsid w:val="00963573"/>
    <w:rsid w:val="00963642"/>
    <w:rsid w:val="00964315"/>
    <w:rsid w:val="0096568C"/>
    <w:rsid w:val="00966207"/>
    <w:rsid w:val="00966485"/>
    <w:rsid w:val="009708CE"/>
    <w:rsid w:val="00974B78"/>
    <w:rsid w:val="0097743F"/>
    <w:rsid w:val="009830CC"/>
    <w:rsid w:val="009830D3"/>
    <w:rsid w:val="009848E6"/>
    <w:rsid w:val="00984E56"/>
    <w:rsid w:val="00986783"/>
    <w:rsid w:val="009877B6"/>
    <w:rsid w:val="00990848"/>
    <w:rsid w:val="009909C6"/>
    <w:rsid w:val="00995048"/>
    <w:rsid w:val="00995744"/>
    <w:rsid w:val="00996102"/>
    <w:rsid w:val="009964FC"/>
    <w:rsid w:val="00996850"/>
    <w:rsid w:val="00996E16"/>
    <w:rsid w:val="009974D2"/>
    <w:rsid w:val="00997558"/>
    <w:rsid w:val="009A00E7"/>
    <w:rsid w:val="009A01FF"/>
    <w:rsid w:val="009A2AAD"/>
    <w:rsid w:val="009A4C39"/>
    <w:rsid w:val="009A4D0C"/>
    <w:rsid w:val="009A5893"/>
    <w:rsid w:val="009B044C"/>
    <w:rsid w:val="009B0475"/>
    <w:rsid w:val="009B0966"/>
    <w:rsid w:val="009B1347"/>
    <w:rsid w:val="009B1AA9"/>
    <w:rsid w:val="009B1CBC"/>
    <w:rsid w:val="009B2ABC"/>
    <w:rsid w:val="009B3AEE"/>
    <w:rsid w:val="009B4733"/>
    <w:rsid w:val="009B6BEE"/>
    <w:rsid w:val="009B6E63"/>
    <w:rsid w:val="009B6F20"/>
    <w:rsid w:val="009B7196"/>
    <w:rsid w:val="009C0094"/>
    <w:rsid w:val="009C0927"/>
    <w:rsid w:val="009C1028"/>
    <w:rsid w:val="009C1614"/>
    <w:rsid w:val="009C1B6F"/>
    <w:rsid w:val="009C1D39"/>
    <w:rsid w:val="009C2127"/>
    <w:rsid w:val="009C3D1A"/>
    <w:rsid w:val="009C4854"/>
    <w:rsid w:val="009C4F88"/>
    <w:rsid w:val="009C5182"/>
    <w:rsid w:val="009C548C"/>
    <w:rsid w:val="009C5E6F"/>
    <w:rsid w:val="009C68F9"/>
    <w:rsid w:val="009D2AA1"/>
    <w:rsid w:val="009D30D0"/>
    <w:rsid w:val="009D3D40"/>
    <w:rsid w:val="009D4503"/>
    <w:rsid w:val="009D61DD"/>
    <w:rsid w:val="009D61E5"/>
    <w:rsid w:val="009D76FB"/>
    <w:rsid w:val="009E19AE"/>
    <w:rsid w:val="009E42E4"/>
    <w:rsid w:val="009E565A"/>
    <w:rsid w:val="009F24E6"/>
    <w:rsid w:val="009F303D"/>
    <w:rsid w:val="009F5B37"/>
    <w:rsid w:val="009F681F"/>
    <w:rsid w:val="009F7154"/>
    <w:rsid w:val="00A013E0"/>
    <w:rsid w:val="00A03626"/>
    <w:rsid w:val="00A04963"/>
    <w:rsid w:val="00A057D4"/>
    <w:rsid w:val="00A060F5"/>
    <w:rsid w:val="00A063BD"/>
    <w:rsid w:val="00A06D66"/>
    <w:rsid w:val="00A07B67"/>
    <w:rsid w:val="00A1023C"/>
    <w:rsid w:val="00A10E68"/>
    <w:rsid w:val="00A11AB3"/>
    <w:rsid w:val="00A12984"/>
    <w:rsid w:val="00A13E06"/>
    <w:rsid w:val="00A13E19"/>
    <w:rsid w:val="00A13FCC"/>
    <w:rsid w:val="00A144E5"/>
    <w:rsid w:val="00A15F5A"/>
    <w:rsid w:val="00A169DE"/>
    <w:rsid w:val="00A178F9"/>
    <w:rsid w:val="00A21540"/>
    <w:rsid w:val="00A21648"/>
    <w:rsid w:val="00A21C13"/>
    <w:rsid w:val="00A21EA6"/>
    <w:rsid w:val="00A2204A"/>
    <w:rsid w:val="00A2251C"/>
    <w:rsid w:val="00A24F77"/>
    <w:rsid w:val="00A25591"/>
    <w:rsid w:val="00A25EA3"/>
    <w:rsid w:val="00A26347"/>
    <w:rsid w:val="00A2727E"/>
    <w:rsid w:val="00A3081C"/>
    <w:rsid w:val="00A3189B"/>
    <w:rsid w:val="00A32608"/>
    <w:rsid w:val="00A3264E"/>
    <w:rsid w:val="00A32BAC"/>
    <w:rsid w:val="00A33699"/>
    <w:rsid w:val="00A34D5D"/>
    <w:rsid w:val="00A42668"/>
    <w:rsid w:val="00A447B5"/>
    <w:rsid w:val="00A447B7"/>
    <w:rsid w:val="00A44850"/>
    <w:rsid w:val="00A44E87"/>
    <w:rsid w:val="00A455A3"/>
    <w:rsid w:val="00A457C4"/>
    <w:rsid w:val="00A45B2C"/>
    <w:rsid w:val="00A464E1"/>
    <w:rsid w:val="00A47AC3"/>
    <w:rsid w:val="00A50C1D"/>
    <w:rsid w:val="00A52592"/>
    <w:rsid w:val="00A53C04"/>
    <w:rsid w:val="00A57A71"/>
    <w:rsid w:val="00A57D1A"/>
    <w:rsid w:val="00A60416"/>
    <w:rsid w:val="00A61529"/>
    <w:rsid w:val="00A64585"/>
    <w:rsid w:val="00A64A90"/>
    <w:rsid w:val="00A64AE6"/>
    <w:rsid w:val="00A7192B"/>
    <w:rsid w:val="00A71A40"/>
    <w:rsid w:val="00A71E23"/>
    <w:rsid w:val="00A72535"/>
    <w:rsid w:val="00A725A4"/>
    <w:rsid w:val="00A7322A"/>
    <w:rsid w:val="00A73ADF"/>
    <w:rsid w:val="00A73B00"/>
    <w:rsid w:val="00A74D6F"/>
    <w:rsid w:val="00A76F16"/>
    <w:rsid w:val="00A778B5"/>
    <w:rsid w:val="00A81A93"/>
    <w:rsid w:val="00A82470"/>
    <w:rsid w:val="00A82DA3"/>
    <w:rsid w:val="00A84F63"/>
    <w:rsid w:val="00A875E2"/>
    <w:rsid w:val="00A9182D"/>
    <w:rsid w:val="00A91E94"/>
    <w:rsid w:val="00A92666"/>
    <w:rsid w:val="00A945C8"/>
    <w:rsid w:val="00A9513F"/>
    <w:rsid w:val="00A95B4A"/>
    <w:rsid w:val="00A95F14"/>
    <w:rsid w:val="00A96292"/>
    <w:rsid w:val="00A964EC"/>
    <w:rsid w:val="00AA0412"/>
    <w:rsid w:val="00AA0858"/>
    <w:rsid w:val="00AA0943"/>
    <w:rsid w:val="00AA1142"/>
    <w:rsid w:val="00AA18DC"/>
    <w:rsid w:val="00AA2C8A"/>
    <w:rsid w:val="00AA310D"/>
    <w:rsid w:val="00AA45B4"/>
    <w:rsid w:val="00AA67DD"/>
    <w:rsid w:val="00AA6A9D"/>
    <w:rsid w:val="00AB09AE"/>
    <w:rsid w:val="00AB157E"/>
    <w:rsid w:val="00AB3C2E"/>
    <w:rsid w:val="00AB3E8A"/>
    <w:rsid w:val="00AB3FD6"/>
    <w:rsid w:val="00AB591A"/>
    <w:rsid w:val="00AB72A6"/>
    <w:rsid w:val="00AC02D6"/>
    <w:rsid w:val="00AC32FD"/>
    <w:rsid w:val="00AC4A85"/>
    <w:rsid w:val="00AC5881"/>
    <w:rsid w:val="00AC5B62"/>
    <w:rsid w:val="00AC7326"/>
    <w:rsid w:val="00AC7805"/>
    <w:rsid w:val="00AC7E98"/>
    <w:rsid w:val="00AD0D90"/>
    <w:rsid w:val="00AD0EFB"/>
    <w:rsid w:val="00AD1684"/>
    <w:rsid w:val="00AD244E"/>
    <w:rsid w:val="00AD25C1"/>
    <w:rsid w:val="00AD31E0"/>
    <w:rsid w:val="00AD346C"/>
    <w:rsid w:val="00AD38B0"/>
    <w:rsid w:val="00AD5554"/>
    <w:rsid w:val="00AD5EEF"/>
    <w:rsid w:val="00AE02A3"/>
    <w:rsid w:val="00AE0378"/>
    <w:rsid w:val="00AE0B90"/>
    <w:rsid w:val="00AE1752"/>
    <w:rsid w:val="00AE2EF5"/>
    <w:rsid w:val="00AE505C"/>
    <w:rsid w:val="00AF02FD"/>
    <w:rsid w:val="00AF11FD"/>
    <w:rsid w:val="00AF152A"/>
    <w:rsid w:val="00AF1BBE"/>
    <w:rsid w:val="00AF21B2"/>
    <w:rsid w:val="00AF2C8F"/>
    <w:rsid w:val="00AF431D"/>
    <w:rsid w:val="00AF4572"/>
    <w:rsid w:val="00AF589C"/>
    <w:rsid w:val="00AF604F"/>
    <w:rsid w:val="00B02658"/>
    <w:rsid w:val="00B030E2"/>
    <w:rsid w:val="00B042AE"/>
    <w:rsid w:val="00B048DF"/>
    <w:rsid w:val="00B05540"/>
    <w:rsid w:val="00B110CD"/>
    <w:rsid w:val="00B16DF0"/>
    <w:rsid w:val="00B20081"/>
    <w:rsid w:val="00B20C31"/>
    <w:rsid w:val="00B2112C"/>
    <w:rsid w:val="00B2274A"/>
    <w:rsid w:val="00B257D0"/>
    <w:rsid w:val="00B26B48"/>
    <w:rsid w:val="00B26EA9"/>
    <w:rsid w:val="00B306B0"/>
    <w:rsid w:val="00B3072C"/>
    <w:rsid w:val="00B30899"/>
    <w:rsid w:val="00B30BFE"/>
    <w:rsid w:val="00B32EC7"/>
    <w:rsid w:val="00B336E9"/>
    <w:rsid w:val="00B338AA"/>
    <w:rsid w:val="00B34B1F"/>
    <w:rsid w:val="00B36C4D"/>
    <w:rsid w:val="00B3780A"/>
    <w:rsid w:val="00B37F2F"/>
    <w:rsid w:val="00B400C4"/>
    <w:rsid w:val="00B40398"/>
    <w:rsid w:val="00B40959"/>
    <w:rsid w:val="00B40CE9"/>
    <w:rsid w:val="00B434D2"/>
    <w:rsid w:val="00B447B4"/>
    <w:rsid w:val="00B47BE7"/>
    <w:rsid w:val="00B5005D"/>
    <w:rsid w:val="00B51859"/>
    <w:rsid w:val="00B51D04"/>
    <w:rsid w:val="00B52E52"/>
    <w:rsid w:val="00B53153"/>
    <w:rsid w:val="00B54524"/>
    <w:rsid w:val="00B552D2"/>
    <w:rsid w:val="00B55467"/>
    <w:rsid w:val="00B57F1E"/>
    <w:rsid w:val="00B602AB"/>
    <w:rsid w:val="00B62820"/>
    <w:rsid w:val="00B63DDE"/>
    <w:rsid w:val="00B63F65"/>
    <w:rsid w:val="00B64F23"/>
    <w:rsid w:val="00B675CD"/>
    <w:rsid w:val="00B67C1A"/>
    <w:rsid w:val="00B71403"/>
    <w:rsid w:val="00B731F6"/>
    <w:rsid w:val="00B73AF0"/>
    <w:rsid w:val="00B779F1"/>
    <w:rsid w:val="00B77ED7"/>
    <w:rsid w:val="00B807C1"/>
    <w:rsid w:val="00B81F73"/>
    <w:rsid w:val="00B842CB"/>
    <w:rsid w:val="00B84F3C"/>
    <w:rsid w:val="00B874B2"/>
    <w:rsid w:val="00B903C1"/>
    <w:rsid w:val="00B91BCA"/>
    <w:rsid w:val="00B9252D"/>
    <w:rsid w:val="00B93773"/>
    <w:rsid w:val="00B955D7"/>
    <w:rsid w:val="00B95796"/>
    <w:rsid w:val="00B95A24"/>
    <w:rsid w:val="00B95ECD"/>
    <w:rsid w:val="00B9668C"/>
    <w:rsid w:val="00B96703"/>
    <w:rsid w:val="00B96E04"/>
    <w:rsid w:val="00B97606"/>
    <w:rsid w:val="00BA08A3"/>
    <w:rsid w:val="00BA2470"/>
    <w:rsid w:val="00BA2D18"/>
    <w:rsid w:val="00BA3C12"/>
    <w:rsid w:val="00BA4066"/>
    <w:rsid w:val="00BA4784"/>
    <w:rsid w:val="00BA5CCF"/>
    <w:rsid w:val="00BA6F9B"/>
    <w:rsid w:val="00BA72DB"/>
    <w:rsid w:val="00BA79A6"/>
    <w:rsid w:val="00BB0D36"/>
    <w:rsid w:val="00BB146F"/>
    <w:rsid w:val="00BB1692"/>
    <w:rsid w:val="00BB426E"/>
    <w:rsid w:val="00BB612F"/>
    <w:rsid w:val="00BB6696"/>
    <w:rsid w:val="00BB7150"/>
    <w:rsid w:val="00BC1659"/>
    <w:rsid w:val="00BC25D7"/>
    <w:rsid w:val="00BC2ADE"/>
    <w:rsid w:val="00BC343E"/>
    <w:rsid w:val="00BC4143"/>
    <w:rsid w:val="00BC4C8E"/>
    <w:rsid w:val="00BC52BB"/>
    <w:rsid w:val="00BC549A"/>
    <w:rsid w:val="00BC5AA0"/>
    <w:rsid w:val="00BC7AAB"/>
    <w:rsid w:val="00BC7E19"/>
    <w:rsid w:val="00BD11E6"/>
    <w:rsid w:val="00BD1AAD"/>
    <w:rsid w:val="00BD1C08"/>
    <w:rsid w:val="00BD1CD7"/>
    <w:rsid w:val="00BD4DB7"/>
    <w:rsid w:val="00BE0BAB"/>
    <w:rsid w:val="00BE433A"/>
    <w:rsid w:val="00BE4761"/>
    <w:rsid w:val="00BE4FEB"/>
    <w:rsid w:val="00BE5836"/>
    <w:rsid w:val="00BE59DF"/>
    <w:rsid w:val="00BE6B3A"/>
    <w:rsid w:val="00BF189A"/>
    <w:rsid w:val="00BF2DFE"/>
    <w:rsid w:val="00BF33D4"/>
    <w:rsid w:val="00BF3AD3"/>
    <w:rsid w:val="00BF3DD1"/>
    <w:rsid w:val="00BF442A"/>
    <w:rsid w:val="00BF50EC"/>
    <w:rsid w:val="00BF5BF6"/>
    <w:rsid w:val="00BF72C5"/>
    <w:rsid w:val="00BF79F5"/>
    <w:rsid w:val="00C00355"/>
    <w:rsid w:val="00C01027"/>
    <w:rsid w:val="00C02EFB"/>
    <w:rsid w:val="00C03376"/>
    <w:rsid w:val="00C0517A"/>
    <w:rsid w:val="00C056B0"/>
    <w:rsid w:val="00C109BF"/>
    <w:rsid w:val="00C10AC6"/>
    <w:rsid w:val="00C10E69"/>
    <w:rsid w:val="00C11907"/>
    <w:rsid w:val="00C12169"/>
    <w:rsid w:val="00C121C2"/>
    <w:rsid w:val="00C15E64"/>
    <w:rsid w:val="00C15E6E"/>
    <w:rsid w:val="00C15F85"/>
    <w:rsid w:val="00C171A5"/>
    <w:rsid w:val="00C21777"/>
    <w:rsid w:val="00C21C9B"/>
    <w:rsid w:val="00C2260B"/>
    <w:rsid w:val="00C22FCC"/>
    <w:rsid w:val="00C23C7A"/>
    <w:rsid w:val="00C249FF"/>
    <w:rsid w:val="00C24E38"/>
    <w:rsid w:val="00C25574"/>
    <w:rsid w:val="00C262C2"/>
    <w:rsid w:val="00C27617"/>
    <w:rsid w:val="00C27EB8"/>
    <w:rsid w:val="00C31123"/>
    <w:rsid w:val="00C312AE"/>
    <w:rsid w:val="00C315E2"/>
    <w:rsid w:val="00C32430"/>
    <w:rsid w:val="00C362B0"/>
    <w:rsid w:val="00C4214D"/>
    <w:rsid w:val="00C43366"/>
    <w:rsid w:val="00C439A6"/>
    <w:rsid w:val="00C445EF"/>
    <w:rsid w:val="00C45725"/>
    <w:rsid w:val="00C47DD2"/>
    <w:rsid w:val="00C500AC"/>
    <w:rsid w:val="00C50BFF"/>
    <w:rsid w:val="00C53864"/>
    <w:rsid w:val="00C543F0"/>
    <w:rsid w:val="00C55707"/>
    <w:rsid w:val="00C602A4"/>
    <w:rsid w:val="00C60D70"/>
    <w:rsid w:val="00C629F0"/>
    <w:rsid w:val="00C62BBF"/>
    <w:rsid w:val="00C65F1E"/>
    <w:rsid w:val="00C66616"/>
    <w:rsid w:val="00C66712"/>
    <w:rsid w:val="00C6698E"/>
    <w:rsid w:val="00C671B9"/>
    <w:rsid w:val="00C70419"/>
    <w:rsid w:val="00C73755"/>
    <w:rsid w:val="00C73E74"/>
    <w:rsid w:val="00C74C67"/>
    <w:rsid w:val="00C75057"/>
    <w:rsid w:val="00C77776"/>
    <w:rsid w:val="00C77948"/>
    <w:rsid w:val="00C77DF3"/>
    <w:rsid w:val="00C77E1E"/>
    <w:rsid w:val="00C82C44"/>
    <w:rsid w:val="00C830B5"/>
    <w:rsid w:val="00C83589"/>
    <w:rsid w:val="00C842C6"/>
    <w:rsid w:val="00C851A7"/>
    <w:rsid w:val="00C8628A"/>
    <w:rsid w:val="00C904A6"/>
    <w:rsid w:val="00C914EF"/>
    <w:rsid w:val="00C94716"/>
    <w:rsid w:val="00C9480E"/>
    <w:rsid w:val="00C957D2"/>
    <w:rsid w:val="00C95D3A"/>
    <w:rsid w:val="00C95F51"/>
    <w:rsid w:val="00C97053"/>
    <w:rsid w:val="00C97540"/>
    <w:rsid w:val="00CA099A"/>
    <w:rsid w:val="00CA1725"/>
    <w:rsid w:val="00CA1BE3"/>
    <w:rsid w:val="00CA1E02"/>
    <w:rsid w:val="00CA26DE"/>
    <w:rsid w:val="00CA3154"/>
    <w:rsid w:val="00CA411A"/>
    <w:rsid w:val="00CA49F6"/>
    <w:rsid w:val="00CA537A"/>
    <w:rsid w:val="00CA544B"/>
    <w:rsid w:val="00CA58D9"/>
    <w:rsid w:val="00CA7D0D"/>
    <w:rsid w:val="00CB054E"/>
    <w:rsid w:val="00CB07F8"/>
    <w:rsid w:val="00CB0D75"/>
    <w:rsid w:val="00CB2316"/>
    <w:rsid w:val="00CB2CD2"/>
    <w:rsid w:val="00CB573C"/>
    <w:rsid w:val="00CB5A0E"/>
    <w:rsid w:val="00CC111E"/>
    <w:rsid w:val="00CC1481"/>
    <w:rsid w:val="00CC1FDE"/>
    <w:rsid w:val="00CC28DD"/>
    <w:rsid w:val="00CC2CEE"/>
    <w:rsid w:val="00CC4384"/>
    <w:rsid w:val="00CC6B2F"/>
    <w:rsid w:val="00CC71DC"/>
    <w:rsid w:val="00CD01F8"/>
    <w:rsid w:val="00CD44AF"/>
    <w:rsid w:val="00CD463F"/>
    <w:rsid w:val="00CD682D"/>
    <w:rsid w:val="00CD7685"/>
    <w:rsid w:val="00CE0E15"/>
    <w:rsid w:val="00CE19ED"/>
    <w:rsid w:val="00CE1AB1"/>
    <w:rsid w:val="00CE2441"/>
    <w:rsid w:val="00CE3276"/>
    <w:rsid w:val="00CE45E5"/>
    <w:rsid w:val="00CE503E"/>
    <w:rsid w:val="00CE54D4"/>
    <w:rsid w:val="00CE6F9E"/>
    <w:rsid w:val="00CE7570"/>
    <w:rsid w:val="00CF05D5"/>
    <w:rsid w:val="00CF0683"/>
    <w:rsid w:val="00CF1939"/>
    <w:rsid w:val="00CF1D27"/>
    <w:rsid w:val="00CF270B"/>
    <w:rsid w:val="00CF43B6"/>
    <w:rsid w:val="00CF5312"/>
    <w:rsid w:val="00CF605D"/>
    <w:rsid w:val="00CF64F4"/>
    <w:rsid w:val="00D007BA"/>
    <w:rsid w:val="00D025F8"/>
    <w:rsid w:val="00D02C03"/>
    <w:rsid w:val="00D03B38"/>
    <w:rsid w:val="00D05B18"/>
    <w:rsid w:val="00D05FFB"/>
    <w:rsid w:val="00D06B94"/>
    <w:rsid w:val="00D07164"/>
    <w:rsid w:val="00D10DC8"/>
    <w:rsid w:val="00D10F88"/>
    <w:rsid w:val="00D1120F"/>
    <w:rsid w:val="00D12FD3"/>
    <w:rsid w:val="00D21679"/>
    <w:rsid w:val="00D22466"/>
    <w:rsid w:val="00D22C0B"/>
    <w:rsid w:val="00D23528"/>
    <w:rsid w:val="00D246F8"/>
    <w:rsid w:val="00D2474B"/>
    <w:rsid w:val="00D24DDF"/>
    <w:rsid w:val="00D257C3"/>
    <w:rsid w:val="00D3013A"/>
    <w:rsid w:val="00D32A85"/>
    <w:rsid w:val="00D32B70"/>
    <w:rsid w:val="00D3478A"/>
    <w:rsid w:val="00D3559A"/>
    <w:rsid w:val="00D3745D"/>
    <w:rsid w:val="00D404A7"/>
    <w:rsid w:val="00D40F22"/>
    <w:rsid w:val="00D4131B"/>
    <w:rsid w:val="00D4149C"/>
    <w:rsid w:val="00D44908"/>
    <w:rsid w:val="00D44A88"/>
    <w:rsid w:val="00D44F37"/>
    <w:rsid w:val="00D44FAD"/>
    <w:rsid w:val="00D468F8"/>
    <w:rsid w:val="00D47942"/>
    <w:rsid w:val="00D47BE8"/>
    <w:rsid w:val="00D47F81"/>
    <w:rsid w:val="00D525E7"/>
    <w:rsid w:val="00D538AF"/>
    <w:rsid w:val="00D53EB9"/>
    <w:rsid w:val="00D564B6"/>
    <w:rsid w:val="00D56AD6"/>
    <w:rsid w:val="00D57356"/>
    <w:rsid w:val="00D62558"/>
    <w:rsid w:val="00D62B98"/>
    <w:rsid w:val="00D634A4"/>
    <w:rsid w:val="00D66573"/>
    <w:rsid w:val="00D66804"/>
    <w:rsid w:val="00D66E9C"/>
    <w:rsid w:val="00D71369"/>
    <w:rsid w:val="00D71B70"/>
    <w:rsid w:val="00D7211C"/>
    <w:rsid w:val="00D733EA"/>
    <w:rsid w:val="00D73606"/>
    <w:rsid w:val="00D7576B"/>
    <w:rsid w:val="00D764DD"/>
    <w:rsid w:val="00D76ADE"/>
    <w:rsid w:val="00D777C4"/>
    <w:rsid w:val="00D80E59"/>
    <w:rsid w:val="00D81A15"/>
    <w:rsid w:val="00D833E4"/>
    <w:rsid w:val="00D8343D"/>
    <w:rsid w:val="00D83717"/>
    <w:rsid w:val="00D857F3"/>
    <w:rsid w:val="00D8599C"/>
    <w:rsid w:val="00D859B5"/>
    <w:rsid w:val="00D87867"/>
    <w:rsid w:val="00D904AE"/>
    <w:rsid w:val="00D90C94"/>
    <w:rsid w:val="00D90D6D"/>
    <w:rsid w:val="00D93060"/>
    <w:rsid w:val="00D93EC9"/>
    <w:rsid w:val="00D95F73"/>
    <w:rsid w:val="00D96B4A"/>
    <w:rsid w:val="00DA0BA4"/>
    <w:rsid w:val="00DA16DE"/>
    <w:rsid w:val="00DA1FFE"/>
    <w:rsid w:val="00DA21AA"/>
    <w:rsid w:val="00DA33F4"/>
    <w:rsid w:val="00DA5913"/>
    <w:rsid w:val="00DB061B"/>
    <w:rsid w:val="00DB1447"/>
    <w:rsid w:val="00DB191A"/>
    <w:rsid w:val="00DB2A9F"/>
    <w:rsid w:val="00DB5381"/>
    <w:rsid w:val="00DB58B0"/>
    <w:rsid w:val="00DB5D67"/>
    <w:rsid w:val="00DB6A8D"/>
    <w:rsid w:val="00DB7329"/>
    <w:rsid w:val="00DB7832"/>
    <w:rsid w:val="00DB7AB2"/>
    <w:rsid w:val="00DC13F6"/>
    <w:rsid w:val="00DC1814"/>
    <w:rsid w:val="00DC39B7"/>
    <w:rsid w:val="00DC4EF5"/>
    <w:rsid w:val="00DC5C5B"/>
    <w:rsid w:val="00DC6233"/>
    <w:rsid w:val="00DC6B4D"/>
    <w:rsid w:val="00DC7F53"/>
    <w:rsid w:val="00DD3C31"/>
    <w:rsid w:val="00DD3EEB"/>
    <w:rsid w:val="00DD5927"/>
    <w:rsid w:val="00DD599D"/>
    <w:rsid w:val="00DD6B4B"/>
    <w:rsid w:val="00DD7548"/>
    <w:rsid w:val="00DD7F45"/>
    <w:rsid w:val="00DE1CB6"/>
    <w:rsid w:val="00DE1F8B"/>
    <w:rsid w:val="00DE2236"/>
    <w:rsid w:val="00DE2958"/>
    <w:rsid w:val="00DE2A1F"/>
    <w:rsid w:val="00DE3B38"/>
    <w:rsid w:val="00DE4EEB"/>
    <w:rsid w:val="00DE6EB1"/>
    <w:rsid w:val="00DF08CC"/>
    <w:rsid w:val="00DF21C5"/>
    <w:rsid w:val="00DF5210"/>
    <w:rsid w:val="00DF52F6"/>
    <w:rsid w:val="00DF5A0A"/>
    <w:rsid w:val="00DF69F3"/>
    <w:rsid w:val="00E0118B"/>
    <w:rsid w:val="00E0242D"/>
    <w:rsid w:val="00E030DE"/>
    <w:rsid w:val="00E03715"/>
    <w:rsid w:val="00E03E57"/>
    <w:rsid w:val="00E058AC"/>
    <w:rsid w:val="00E05C05"/>
    <w:rsid w:val="00E115FC"/>
    <w:rsid w:val="00E117A2"/>
    <w:rsid w:val="00E1319D"/>
    <w:rsid w:val="00E14680"/>
    <w:rsid w:val="00E17AE7"/>
    <w:rsid w:val="00E205E2"/>
    <w:rsid w:val="00E2095C"/>
    <w:rsid w:val="00E23F84"/>
    <w:rsid w:val="00E245D2"/>
    <w:rsid w:val="00E26484"/>
    <w:rsid w:val="00E307D5"/>
    <w:rsid w:val="00E31141"/>
    <w:rsid w:val="00E320B6"/>
    <w:rsid w:val="00E32160"/>
    <w:rsid w:val="00E36A4F"/>
    <w:rsid w:val="00E37071"/>
    <w:rsid w:val="00E375AA"/>
    <w:rsid w:val="00E37E02"/>
    <w:rsid w:val="00E37E09"/>
    <w:rsid w:val="00E41F71"/>
    <w:rsid w:val="00E42896"/>
    <w:rsid w:val="00E44E22"/>
    <w:rsid w:val="00E45396"/>
    <w:rsid w:val="00E479CF"/>
    <w:rsid w:val="00E47AB8"/>
    <w:rsid w:val="00E47D3F"/>
    <w:rsid w:val="00E47EB6"/>
    <w:rsid w:val="00E5110C"/>
    <w:rsid w:val="00E52240"/>
    <w:rsid w:val="00E52DFB"/>
    <w:rsid w:val="00E52F71"/>
    <w:rsid w:val="00E53B3C"/>
    <w:rsid w:val="00E578AE"/>
    <w:rsid w:val="00E57966"/>
    <w:rsid w:val="00E602C8"/>
    <w:rsid w:val="00E6054A"/>
    <w:rsid w:val="00E606A4"/>
    <w:rsid w:val="00E6147A"/>
    <w:rsid w:val="00E61955"/>
    <w:rsid w:val="00E6253D"/>
    <w:rsid w:val="00E628E8"/>
    <w:rsid w:val="00E62E34"/>
    <w:rsid w:val="00E63B91"/>
    <w:rsid w:val="00E6434F"/>
    <w:rsid w:val="00E64465"/>
    <w:rsid w:val="00E65AB3"/>
    <w:rsid w:val="00E665AC"/>
    <w:rsid w:val="00E67523"/>
    <w:rsid w:val="00E67E8D"/>
    <w:rsid w:val="00E7384F"/>
    <w:rsid w:val="00E74E08"/>
    <w:rsid w:val="00E75E08"/>
    <w:rsid w:val="00E75F8F"/>
    <w:rsid w:val="00E76103"/>
    <w:rsid w:val="00E76765"/>
    <w:rsid w:val="00E7787B"/>
    <w:rsid w:val="00E8025B"/>
    <w:rsid w:val="00E809A4"/>
    <w:rsid w:val="00E80CB8"/>
    <w:rsid w:val="00E8140A"/>
    <w:rsid w:val="00E81B56"/>
    <w:rsid w:val="00E82289"/>
    <w:rsid w:val="00E82AC8"/>
    <w:rsid w:val="00E82BED"/>
    <w:rsid w:val="00E847A6"/>
    <w:rsid w:val="00E85C78"/>
    <w:rsid w:val="00E86B16"/>
    <w:rsid w:val="00E86EA6"/>
    <w:rsid w:val="00E8715C"/>
    <w:rsid w:val="00E87485"/>
    <w:rsid w:val="00E907EE"/>
    <w:rsid w:val="00E91D88"/>
    <w:rsid w:val="00E92F2E"/>
    <w:rsid w:val="00E94488"/>
    <w:rsid w:val="00E96EE6"/>
    <w:rsid w:val="00EA0300"/>
    <w:rsid w:val="00EA127A"/>
    <w:rsid w:val="00EA1A16"/>
    <w:rsid w:val="00EA3EF1"/>
    <w:rsid w:val="00EA5907"/>
    <w:rsid w:val="00EA6FEE"/>
    <w:rsid w:val="00EB0B7E"/>
    <w:rsid w:val="00EB3580"/>
    <w:rsid w:val="00EB5794"/>
    <w:rsid w:val="00EB6180"/>
    <w:rsid w:val="00EB6207"/>
    <w:rsid w:val="00EB62C1"/>
    <w:rsid w:val="00EB67A9"/>
    <w:rsid w:val="00EB6E27"/>
    <w:rsid w:val="00EB7833"/>
    <w:rsid w:val="00EC16DB"/>
    <w:rsid w:val="00EC19A5"/>
    <w:rsid w:val="00EC30FF"/>
    <w:rsid w:val="00EC3A22"/>
    <w:rsid w:val="00EC4631"/>
    <w:rsid w:val="00EC7967"/>
    <w:rsid w:val="00ED0121"/>
    <w:rsid w:val="00ED01DD"/>
    <w:rsid w:val="00ED056E"/>
    <w:rsid w:val="00ED0C18"/>
    <w:rsid w:val="00ED1B26"/>
    <w:rsid w:val="00ED1C62"/>
    <w:rsid w:val="00ED2EA1"/>
    <w:rsid w:val="00ED3213"/>
    <w:rsid w:val="00ED38D9"/>
    <w:rsid w:val="00ED53E5"/>
    <w:rsid w:val="00EE0C7D"/>
    <w:rsid w:val="00EE132C"/>
    <w:rsid w:val="00EE5678"/>
    <w:rsid w:val="00EE5DF1"/>
    <w:rsid w:val="00EE5F3B"/>
    <w:rsid w:val="00EF3B92"/>
    <w:rsid w:val="00F001E8"/>
    <w:rsid w:val="00F018EA"/>
    <w:rsid w:val="00F018F5"/>
    <w:rsid w:val="00F0301C"/>
    <w:rsid w:val="00F03A25"/>
    <w:rsid w:val="00F04FB9"/>
    <w:rsid w:val="00F0609A"/>
    <w:rsid w:val="00F079F3"/>
    <w:rsid w:val="00F1022C"/>
    <w:rsid w:val="00F11AD8"/>
    <w:rsid w:val="00F121AD"/>
    <w:rsid w:val="00F15249"/>
    <w:rsid w:val="00F16278"/>
    <w:rsid w:val="00F17570"/>
    <w:rsid w:val="00F21BD9"/>
    <w:rsid w:val="00F21CC3"/>
    <w:rsid w:val="00F21ED4"/>
    <w:rsid w:val="00F24067"/>
    <w:rsid w:val="00F24B76"/>
    <w:rsid w:val="00F25773"/>
    <w:rsid w:val="00F2656D"/>
    <w:rsid w:val="00F26620"/>
    <w:rsid w:val="00F27561"/>
    <w:rsid w:val="00F30072"/>
    <w:rsid w:val="00F319C6"/>
    <w:rsid w:val="00F31E3C"/>
    <w:rsid w:val="00F31F4C"/>
    <w:rsid w:val="00F33E16"/>
    <w:rsid w:val="00F3456A"/>
    <w:rsid w:val="00F3631B"/>
    <w:rsid w:val="00F36FD1"/>
    <w:rsid w:val="00F3700A"/>
    <w:rsid w:val="00F372AA"/>
    <w:rsid w:val="00F37C69"/>
    <w:rsid w:val="00F40398"/>
    <w:rsid w:val="00F408E2"/>
    <w:rsid w:val="00F40D4C"/>
    <w:rsid w:val="00F414B1"/>
    <w:rsid w:val="00F42C06"/>
    <w:rsid w:val="00F42D18"/>
    <w:rsid w:val="00F4366B"/>
    <w:rsid w:val="00F462B4"/>
    <w:rsid w:val="00F475C3"/>
    <w:rsid w:val="00F53376"/>
    <w:rsid w:val="00F553FA"/>
    <w:rsid w:val="00F5556E"/>
    <w:rsid w:val="00F566EB"/>
    <w:rsid w:val="00F57112"/>
    <w:rsid w:val="00F57F53"/>
    <w:rsid w:val="00F60205"/>
    <w:rsid w:val="00F60C9A"/>
    <w:rsid w:val="00F6224E"/>
    <w:rsid w:val="00F62400"/>
    <w:rsid w:val="00F62AC6"/>
    <w:rsid w:val="00F647A7"/>
    <w:rsid w:val="00F667D5"/>
    <w:rsid w:val="00F707E1"/>
    <w:rsid w:val="00F712E2"/>
    <w:rsid w:val="00F71DB8"/>
    <w:rsid w:val="00F721CA"/>
    <w:rsid w:val="00F73419"/>
    <w:rsid w:val="00F73967"/>
    <w:rsid w:val="00F73E87"/>
    <w:rsid w:val="00F743AA"/>
    <w:rsid w:val="00F810E8"/>
    <w:rsid w:val="00F816C3"/>
    <w:rsid w:val="00F82303"/>
    <w:rsid w:val="00F82CD4"/>
    <w:rsid w:val="00F84A8C"/>
    <w:rsid w:val="00F84D8A"/>
    <w:rsid w:val="00F8515F"/>
    <w:rsid w:val="00F85550"/>
    <w:rsid w:val="00F8578A"/>
    <w:rsid w:val="00F85A10"/>
    <w:rsid w:val="00F86B0A"/>
    <w:rsid w:val="00F90B40"/>
    <w:rsid w:val="00F9178F"/>
    <w:rsid w:val="00F93A79"/>
    <w:rsid w:val="00F94216"/>
    <w:rsid w:val="00F94C84"/>
    <w:rsid w:val="00F96645"/>
    <w:rsid w:val="00F96BEF"/>
    <w:rsid w:val="00FA0538"/>
    <w:rsid w:val="00FA0706"/>
    <w:rsid w:val="00FA3A62"/>
    <w:rsid w:val="00FA4CAD"/>
    <w:rsid w:val="00FA5BF8"/>
    <w:rsid w:val="00FA76AC"/>
    <w:rsid w:val="00FB0F93"/>
    <w:rsid w:val="00FB23BD"/>
    <w:rsid w:val="00FB35C8"/>
    <w:rsid w:val="00FB5876"/>
    <w:rsid w:val="00FB5C4F"/>
    <w:rsid w:val="00FB62A8"/>
    <w:rsid w:val="00FB671F"/>
    <w:rsid w:val="00FB6DB5"/>
    <w:rsid w:val="00FC0331"/>
    <w:rsid w:val="00FC5DFF"/>
    <w:rsid w:val="00FD0BD7"/>
    <w:rsid w:val="00FD1D0A"/>
    <w:rsid w:val="00FD2CC1"/>
    <w:rsid w:val="00FD2CEB"/>
    <w:rsid w:val="00FD33D1"/>
    <w:rsid w:val="00FD3534"/>
    <w:rsid w:val="00FD3E72"/>
    <w:rsid w:val="00FD3FCE"/>
    <w:rsid w:val="00FD5317"/>
    <w:rsid w:val="00FD6678"/>
    <w:rsid w:val="00FE04AB"/>
    <w:rsid w:val="00FE12A8"/>
    <w:rsid w:val="00FE2D11"/>
    <w:rsid w:val="00FE2DEF"/>
    <w:rsid w:val="00FE366F"/>
    <w:rsid w:val="00FE4C6D"/>
    <w:rsid w:val="00FE6D9D"/>
    <w:rsid w:val="00FE760F"/>
    <w:rsid w:val="00FF0B18"/>
    <w:rsid w:val="00FF0BB9"/>
    <w:rsid w:val="00FF1C7C"/>
    <w:rsid w:val="00FF3E83"/>
    <w:rsid w:val="00FF4D06"/>
    <w:rsid w:val="00FF4FDF"/>
    <w:rsid w:val="00FF6431"/>
    <w:rsid w:val="00FF6824"/>
    <w:rsid w:val="00FF6BC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0B3C5"/>
  <w15:docId w15:val="{0CD3C5B5-E970-452C-BAAD-81CFBD1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40F22"/>
    <w:rPr>
      <w:sz w:val="24"/>
      <w:szCs w:val="24"/>
      <w:lang w:val="uk-UA" w:eastAsia="uk-UA"/>
    </w:rPr>
  </w:style>
  <w:style w:type="paragraph" w:styleId="10">
    <w:name w:val="heading 1"/>
    <w:basedOn w:val="a1"/>
    <w:next w:val="a1"/>
    <w:link w:val="11"/>
    <w:uiPriority w:val="9"/>
    <w:qFormat/>
    <w:rsid w:val="005D74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D6B23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1"/>
    <w:next w:val="a1"/>
    <w:link w:val="31"/>
    <w:uiPriority w:val="9"/>
    <w:unhideWhenUsed/>
    <w:qFormat/>
    <w:rsid w:val="005D74E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5D74E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D7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5D7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5D7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5D74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1">
    <w:name w:val="Знак Знак6"/>
    <w:locked/>
    <w:rPr>
      <w:rFonts w:ascii="Arial" w:hAnsi="Arial"/>
      <w:i/>
      <w:sz w:val="26"/>
      <w:szCs w:val="26"/>
      <w:lang w:val="uk-UA"/>
    </w:rPr>
  </w:style>
  <w:style w:type="paragraph" w:styleId="a5">
    <w:name w:val="footnote text"/>
    <w:basedOn w:val="a1"/>
    <w:link w:val="a6"/>
    <w:uiPriority w:val="99"/>
    <w:semiHidden/>
    <w:rPr>
      <w:sz w:val="20"/>
      <w:szCs w:val="20"/>
    </w:rPr>
  </w:style>
  <w:style w:type="character" w:customStyle="1" w:styleId="51">
    <w:name w:val="Знак Знак5"/>
    <w:semiHidden/>
    <w:locked/>
    <w:rPr>
      <w:lang w:val="uk-UA" w:eastAsia="ru-RU" w:bidi="ar-SA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Body Text Indent"/>
    <w:basedOn w:val="a1"/>
    <w:semiHidden/>
    <w:pPr>
      <w:ind w:firstLine="295"/>
    </w:pPr>
    <w:rPr>
      <w:sz w:val="19"/>
      <w:szCs w:val="20"/>
      <w:lang w:val="ru-RU"/>
    </w:rPr>
  </w:style>
  <w:style w:type="paragraph" w:styleId="32">
    <w:name w:val="Body Text 3"/>
    <w:basedOn w:val="a1"/>
    <w:semiHidden/>
    <w:pPr>
      <w:spacing w:before="120"/>
      <w:ind w:firstLine="426"/>
    </w:pPr>
    <w:rPr>
      <w:sz w:val="19"/>
      <w:szCs w:val="20"/>
    </w:rPr>
  </w:style>
  <w:style w:type="paragraph" w:styleId="33">
    <w:name w:val="Body Text Indent 3"/>
    <w:basedOn w:val="a1"/>
    <w:semiHidden/>
    <w:pPr>
      <w:ind w:firstLine="295"/>
      <w:jc w:val="center"/>
    </w:pPr>
    <w:rPr>
      <w:sz w:val="19"/>
      <w:szCs w:val="20"/>
    </w:rPr>
  </w:style>
  <w:style w:type="paragraph" w:styleId="a9">
    <w:name w:val="Body Text"/>
    <w:basedOn w:val="a1"/>
    <w:semiHidden/>
    <w:pPr>
      <w:ind w:firstLine="426"/>
    </w:pPr>
    <w:rPr>
      <w:sz w:val="18"/>
      <w:szCs w:val="20"/>
      <w:lang w:val="ru-RU"/>
    </w:rPr>
  </w:style>
  <w:style w:type="paragraph" w:styleId="22">
    <w:name w:val="Body Text Indent 2"/>
    <w:basedOn w:val="a1"/>
    <w:semiHidden/>
    <w:pPr>
      <w:ind w:left="643" w:hanging="348"/>
    </w:pPr>
    <w:rPr>
      <w:b/>
      <w:sz w:val="19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styleId="23">
    <w:name w:val="Body Text 2"/>
    <w:basedOn w:val="a1"/>
    <w:semiHidden/>
    <w:pPr>
      <w:widowControl w:val="0"/>
      <w:tabs>
        <w:tab w:val="left" w:leader="underscore" w:pos="6467"/>
      </w:tabs>
      <w:ind w:firstLine="426"/>
    </w:pPr>
    <w:rPr>
      <w:sz w:val="20"/>
      <w:szCs w:val="20"/>
    </w:rPr>
  </w:style>
  <w:style w:type="paragraph" w:styleId="aa">
    <w:name w:val="footer"/>
    <w:basedOn w:val="a1"/>
    <w:link w:val="ab"/>
    <w:uiPriority w:val="99"/>
    <w:pPr>
      <w:widowControl w:val="0"/>
      <w:tabs>
        <w:tab w:val="center" w:pos="4677"/>
        <w:tab w:val="right" w:pos="9355"/>
      </w:tabs>
      <w:ind w:firstLine="426"/>
    </w:pPr>
    <w:rPr>
      <w:sz w:val="20"/>
      <w:szCs w:val="20"/>
      <w:lang w:val="ru-RU"/>
    </w:rPr>
  </w:style>
  <w:style w:type="paragraph" w:styleId="ac">
    <w:name w:val="Title"/>
    <w:basedOn w:val="a1"/>
    <w:next w:val="a1"/>
    <w:link w:val="ad"/>
    <w:uiPriority w:val="10"/>
    <w:qFormat/>
    <w:rsid w:val="005D74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e">
    <w:name w:val="page number"/>
    <w:basedOn w:val="a2"/>
    <w:semiHidden/>
  </w:style>
  <w:style w:type="paragraph" w:styleId="3">
    <w:name w:val="List Bullet 3"/>
    <w:basedOn w:val="32"/>
    <w:autoRedefine/>
    <w:semiHidden/>
    <w:pPr>
      <w:numPr>
        <w:numId w:val="1"/>
      </w:numPr>
      <w:tabs>
        <w:tab w:val="clear" w:pos="926"/>
        <w:tab w:val="num" w:pos="964"/>
      </w:tabs>
      <w:spacing w:before="0" w:line="312" w:lineRule="auto"/>
      <w:ind w:left="964" w:hanging="397"/>
    </w:pPr>
    <w:rPr>
      <w:sz w:val="28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b/>
      <w:bCs/>
      <w:i/>
      <w:iCs/>
      <w:sz w:val="16"/>
      <w:szCs w:val="16"/>
      <w:lang w:val="uk-UA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sz w:val="12"/>
      <w:szCs w:val="12"/>
    </w:rPr>
  </w:style>
  <w:style w:type="paragraph" w:styleId="12">
    <w:name w:val="toc 1"/>
    <w:basedOn w:val="a1"/>
    <w:next w:val="a1"/>
    <w:autoRedefine/>
    <w:uiPriority w:val="39"/>
    <w:rsid w:val="00F712E2"/>
    <w:pPr>
      <w:tabs>
        <w:tab w:val="right" w:leader="dot" w:pos="9309"/>
      </w:tabs>
      <w:spacing w:before="80"/>
      <w:ind w:left="249" w:right="465" w:hanging="249"/>
    </w:pPr>
    <w:rPr>
      <w:caps/>
      <w:noProof/>
    </w:rPr>
  </w:style>
  <w:style w:type="paragraph" w:styleId="24">
    <w:name w:val="toc 2"/>
    <w:basedOn w:val="a1"/>
    <w:next w:val="a1"/>
    <w:autoRedefine/>
    <w:uiPriority w:val="39"/>
    <w:rsid w:val="003A2C42"/>
    <w:pPr>
      <w:tabs>
        <w:tab w:val="left" w:pos="720"/>
        <w:tab w:val="right" w:leader="dot" w:pos="9309"/>
      </w:tabs>
      <w:ind w:left="720" w:right="652" w:hanging="454"/>
    </w:pPr>
    <w:rPr>
      <w:noProof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header"/>
    <w:basedOn w:val="a1"/>
    <w:link w:val="af1"/>
    <w:semiHidden/>
    <w:pPr>
      <w:tabs>
        <w:tab w:val="center" w:pos="4677"/>
        <w:tab w:val="right" w:pos="9355"/>
      </w:tabs>
      <w:ind w:firstLine="426"/>
    </w:pPr>
  </w:style>
  <w:style w:type="character" w:styleId="af2">
    <w:name w:val="FollowedHyperlink"/>
    <w:semiHidden/>
    <w:rPr>
      <w:color w:val="800080"/>
      <w:u w:val="single"/>
    </w:rPr>
  </w:style>
  <w:style w:type="paragraph" w:styleId="af3">
    <w:name w:val="Subtitle"/>
    <w:basedOn w:val="a1"/>
    <w:next w:val="a1"/>
    <w:link w:val="af4"/>
    <w:uiPriority w:val="11"/>
    <w:qFormat/>
    <w:rsid w:val="005D74EB"/>
    <w:pPr>
      <w:spacing w:after="60"/>
      <w:jc w:val="center"/>
      <w:outlineLvl w:val="1"/>
    </w:pPr>
    <w:rPr>
      <w:rFonts w:ascii="Cambria" w:hAnsi="Cambria" w:cs="Arial"/>
    </w:rPr>
  </w:style>
  <w:style w:type="paragraph" w:styleId="af5">
    <w:name w:val="Normal (Web)"/>
    <w:basedOn w:val="a1"/>
    <w:uiPriority w:val="99"/>
    <w:semiHidden/>
    <w:pPr>
      <w:spacing w:before="100" w:beforeAutospacing="1" w:after="100" w:afterAutospacing="1"/>
      <w:ind w:firstLine="426"/>
    </w:pPr>
    <w:rPr>
      <w:lang w:val="ru-RU"/>
    </w:rPr>
  </w:style>
  <w:style w:type="character" w:styleId="af6">
    <w:name w:val="Strong"/>
    <w:uiPriority w:val="22"/>
    <w:qFormat/>
    <w:rsid w:val="005D74EB"/>
    <w:rPr>
      <w:b/>
      <w:bCs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6"/>
    </w:pPr>
    <w:rPr>
      <w:rFonts w:ascii="Courier New" w:hAnsi="Courier New" w:cs="Courier New"/>
      <w:sz w:val="20"/>
      <w:lang w:val="ru-RU"/>
    </w:rPr>
  </w:style>
  <w:style w:type="paragraph" w:customStyle="1" w:styleId="af7">
    <w:name w:val="Нормальний текст Знак"/>
    <w:basedOn w:val="a1"/>
    <w:pPr>
      <w:spacing w:before="120"/>
    </w:pPr>
    <w:rPr>
      <w:rFonts w:ascii="Antiqua" w:hAnsi="Antiqua"/>
    </w:rPr>
  </w:style>
  <w:style w:type="paragraph" w:customStyle="1" w:styleId="1">
    <w:name w:val="Маркер 1"/>
    <w:basedOn w:val="a1"/>
    <w:link w:val="110"/>
    <w:qFormat/>
    <w:rsid w:val="00C602A4"/>
    <w:pPr>
      <w:numPr>
        <w:numId w:val="3"/>
      </w:numPr>
      <w:tabs>
        <w:tab w:val="num" w:pos="851"/>
      </w:tabs>
      <w:ind w:left="851" w:hanging="284"/>
    </w:pPr>
    <w:rPr>
      <w:szCs w:val="28"/>
      <w:lang w:eastAsia="en-US" w:bidi="en-US"/>
    </w:rPr>
  </w:style>
  <w:style w:type="character" w:customStyle="1" w:styleId="13">
    <w:name w:val="Маркер 1 Знак"/>
    <w:rPr>
      <w:sz w:val="26"/>
      <w:szCs w:val="28"/>
      <w:lang w:val="uk-UA" w:eastAsia="en-US" w:bidi="en-US"/>
    </w:r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  <w:spacing w:line="437" w:lineRule="exact"/>
      <w:ind w:firstLine="557"/>
    </w:p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customStyle="1" w:styleId="rvps12">
    <w:name w:val="rvps12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styleId="af8">
    <w:name w:val="Plain Text"/>
    <w:basedOn w:val="a1"/>
    <w:semiHidden/>
    <w:pPr>
      <w:ind w:firstLine="426"/>
    </w:pPr>
    <w:rPr>
      <w:rFonts w:ascii="Courier New" w:hAnsi="Courier New" w:cs="Courier New"/>
      <w:sz w:val="20"/>
      <w:lang w:val="ru-RU"/>
    </w:rPr>
  </w:style>
  <w:style w:type="character" w:customStyle="1" w:styleId="34">
    <w:name w:val="Знак Знак3"/>
    <w:locked/>
    <w:rPr>
      <w:rFonts w:ascii="Courier New" w:hAnsi="Courier New" w:cs="Courier New"/>
      <w:szCs w:val="26"/>
      <w:lang w:val="ru-RU" w:eastAsia="ru-RU" w:bidi="ar-SA"/>
    </w:rPr>
  </w:style>
  <w:style w:type="paragraph" w:styleId="a">
    <w:name w:val="List Bullet"/>
    <w:basedOn w:val="a1"/>
    <w:semiHidden/>
    <w:pPr>
      <w:numPr>
        <w:numId w:val="2"/>
      </w:numPr>
    </w:pPr>
  </w:style>
  <w:style w:type="paragraph" w:customStyle="1" w:styleId="14">
    <w:name w:val="Без интервала1"/>
    <w:rPr>
      <w:sz w:val="22"/>
      <w:szCs w:val="22"/>
      <w:lang w:eastAsia="en-US"/>
    </w:rPr>
  </w:style>
  <w:style w:type="paragraph" w:customStyle="1" w:styleId="2">
    <w:name w:val="Маркер 2"/>
    <w:basedOn w:val="1"/>
    <w:qFormat/>
    <w:rsid w:val="00C602A4"/>
    <w:pPr>
      <w:numPr>
        <w:ilvl w:val="1"/>
      </w:numPr>
      <w:tabs>
        <w:tab w:val="num" w:pos="8724"/>
      </w:tabs>
    </w:pPr>
    <w:rPr>
      <w:szCs w:val="26"/>
    </w:rPr>
  </w:style>
  <w:style w:type="character" w:customStyle="1" w:styleId="25">
    <w:name w:val="Маркер 2 Знак"/>
    <w:rPr>
      <w:sz w:val="26"/>
      <w:szCs w:val="28"/>
      <w:lang w:val="uk-UA" w:eastAsia="en-US" w:bidi="en-US"/>
    </w:rPr>
  </w:style>
  <w:style w:type="paragraph" w:customStyle="1" w:styleId="af9">
    <w:name w:val="Рисунок"/>
    <w:basedOn w:val="a1"/>
    <w:link w:val="15"/>
    <w:qFormat/>
    <w:pPr>
      <w:spacing w:before="120" w:after="240"/>
      <w:jc w:val="center"/>
    </w:pPr>
    <w:rPr>
      <w:i/>
      <w:lang w:val="x-none" w:eastAsia="x-none"/>
    </w:rPr>
  </w:style>
  <w:style w:type="paragraph" w:customStyle="1" w:styleId="afa">
    <w:name w:val="Сноска"/>
    <w:basedOn w:val="a5"/>
    <w:qFormat/>
    <w:rPr>
      <w:sz w:val="22"/>
      <w:szCs w:val="22"/>
    </w:rPr>
  </w:style>
  <w:style w:type="character" w:customStyle="1" w:styleId="afb">
    <w:name w:val="Рисунок Знак"/>
    <w:rPr>
      <w:i/>
      <w:sz w:val="24"/>
      <w:szCs w:val="24"/>
      <w:lang w:val="uk-UA"/>
    </w:rPr>
  </w:style>
  <w:style w:type="paragraph" w:styleId="afc">
    <w:name w:val="endnote text"/>
    <w:basedOn w:val="a1"/>
    <w:semiHidden/>
    <w:rPr>
      <w:sz w:val="20"/>
      <w:szCs w:val="20"/>
      <w:lang w:eastAsia="x-none"/>
    </w:rPr>
  </w:style>
  <w:style w:type="character" w:customStyle="1" w:styleId="afd">
    <w:name w:val="Сноска Знак"/>
    <w:rPr>
      <w:sz w:val="22"/>
      <w:szCs w:val="22"/>
      <w:lang w:val="uk-UA" w:eastAsia="ru-RU" w:bidi="ar-SA"/>
    </w:rPr>
  </w:style>
  <w:style w:type="character" w:customStyle="1" w:styleId="26">
    <w:name w:val="Знак Знак2"/>
    <w:rPr>
      <w:lang w:val="uk-UA"/>
    </w:rPr>
  </w:style>
  <w:style w:type="character" w:styleId="afe">
    <w:name w:val="endnote reference"/>
    <w:semiHidden/>
    <w:rPr>
      <w:vertAlign w:val="superscript"/>
    </w:rPr>
  </w:style>
  <w:style w:type="paragraph" w:styleId="aff">
    <w:name w:val="Document Map"/>
    <w:basedOn w:val="a1"/>
    <w:semiHidden/>
    <w:rPr>
      <w:rFonts w:ascii="Tahoma" w:hAnsi="Tahoma"/>
      <w:sz w:val="16"/>
      <w:szCs w:val="16"/>
      <w:lang w:eastAsia="x-none"/>
    </w:rPr>
  </w:style>
  <w:style w:type="character" w:customStyle="1" w:styleId="16">
    <w:name w:val="Знак Знак1"/>
    <w:rPr>
      <w:rFonts w:ascii="Tahoma" w:hAnsi="Tahoma" w:cs="Tahoma"/>
      <w:sz w:val="16"/>
      <w:szCs w:val="16"/>
      <w:lang w:val="uk-UA"/>
    </w:rPr>
  </w:style>
  <w:style w:type="character" w:customStyle="1" w:styleId="41">
    <w:name w:val="Знак Знак4"/>
    <w:basedOn w:val="a2"/>
  </w:style>
  <w:style w:type="character" w:customStyle="1" w:styleId="rvts0">
    <w:name w:val="rvts0"/>
    <w:basedOn w:val="a2"/>
  </w:style>
  <w:style w:type="paragraph" w:styleId="aff0">
    <w:name w:val="No Spacing"/>
    <w:basedOn w:val="a1"/>
    <w:uiPriority w:val="1"/>
    <w:qFormat/>
    <w:rsid w:val="005D74EB"/>
    <w:rPr>
      <w:szCs w:val="32"/>
    </w:rPr>
  </w:style>
  <w:style w:type="paragraph" w:styleId="aff1">
    <w:name w:val="Revision"/>
    <w:hidden/>
    <w:semiHidden/>
    <w:rPr>
      <w:sz w:val="26"/>
      <w:szCs w:val="26"/>
      <w:lang w:val="uk-UA"/>
    </w:rPr>
  </w:style>
  <w:style w:type="paragraph" w:customStyle="1" w:styleId="aff2">
    <w:name w:val="Таблиця"/>
    <w:basedOn w:val="aff0"/>
    <w:qFormat/>
    <w:rPr>
      <w:szCs w:val="24"/>
    </w:rPr>
  </w:style>
  <w:style w:type="paragraph" w:styleId="aff3">
    <w:name w:val="TOC Heading"/>
    <w:basedOn w:val="10"/>
    <w:next w:val="a1"/>
    <w:uiPriority w:val="39"/>
    <w:unhideWhenUsed/>
    <w:qFormat/>
    <w:rsid w:val="005D74EB"/>
    <w:pPr>
      <w:outlineLvl w:val="9"/>
    </w:pPr>
    <w:rPr>
      <w:rFonts w:ascii="Cambria" w:hAnsi="Cambria"/>
    </w:rPr>
  </w:style>
  <w:style w:type="character" w:customStyle="1" w:styleId="aff4">
    <w:name w:val="Без интервала Знак"/>
    <w:rPr>
      <w:sz w:val="26"/>
      <w:szCs w:val="26"/>
      <w:lang w:val="uk-UA" w:eastAsia="ru-RU" w:bidi="ar-SA"/>
    </w:rPr>
  </w:style>
  <w:style w:type="character" w:customStyle="1" w:styleId="aff5">
    <w:name w:val="Таблиця Знак"/>
    <w:rPr>
      <w:sz w:val="26"/>
      <w:szCs w:val="26"/>
      <w:lang w:val="uk-UA" w:eastAsia="ru-RU" w:bidi="ar-SA"/>
    </w:rPr>
  </w:style>
  <w:style w:type="paragraph" w:styleId="35">
    <w:name w:val="toc 3"/>
    <w:basedOn w:val="a1"/>
    <w:next w:val="a1"/>
    <w:autoRedefine/>
    <w:uiPriority w:val="39"/>
    <w:rsid w:val="00ED1B26"/>
    <w:pPr>
      <w:tabs>
        <w:tab w:val="right" w:leader="dot" w:pos="9295"/>
      </w:tabs>
      <w:ind w:left="1190" w:right="794" w:hanging="481"/>
    </w:pPr>
    <w:rPr>
      <w:noProof/>
    </w:rPr>
  </w:style>
  <w:style w:type="character" w:customStyle="1" w:styleId="rvts9">
    <w:name w:val="rvts9"/>
    <w:basedOn w:val="a2"/>
  </w:style>
  <w:style w:type="character" w:customStyle="1" w:styleId="rvts23">
    <w:name w:val="rvts23"/>
    <w:basedOn w:val="a2"/>
  </w:style>
  <w:style w:type="paragraph" w:styleId="aff6">
    <w:name w:val="Balloon Text"/>
    <w:basedOn w:val="a1"/>
    <w:rPr>
      <w:rFonts w:ascii="Tahoma" w:hAnsi="Tahoma"/>
      <w:sz w:val="16"/>
      <w:szCs w:val="16"/>
      <w:lang w:eastAsia="x-none"/>
    </w:rPr>
  </w:style>
  <w:style w:type="character" w:customStyle="1" w:styleId="aff7">
    <w:name w:val="Знак Знак"/>
    <w:rPr>
      <w:rFonts w:ascii="Tahoma" w:hAnsi="Tahoma" w:cs="Tahoma"/>
      <w:sz w:val="16"/>
      <w:szCs w:val="16"/>
      <w:lang w:val="uk-UA"/>
    </w:rPr>
  </w:style>
  <w:style w:type="character" w:styleId="aff8">
    <w:name w:val="Emphasis"/>
    <w:uiPriority w:val="20"/>
    <w:qFormat/>
    <w:rsid w:val="005D74EB"/>
    <w:rPr>
      <w:rFonts w:ascii="Calibri" w:hAnsi="Calibri"/>
      <w:b/>
      <w:i/>
      <w:iCs/>
    </w:rPr>
  </w:style>
  <w:style w:type="character" w:customStyle="1" w:styleId="shorttext">
    <w:name w:val="short_text"/>
    <w:basedOn w:val="a2"/>
  </w:style>
  <w:style w:type="paragraph" w:customStyle="1" w:styleId="17">
    <w:name w:val="З_1"/>
    <w:basedOn w:val="a1"/>
    <w:pPr>
      <w:spacing w:line="360" w:lineRule="auto"/>
      <w:ind w:firstLine="708"/>
      <w:contextualSpacing/>
    </w:pPr>
    <w:rPr>
      <w:rFonts w:eastAsia="Calibri"/>
      <w:b/>
    </w:rPr>
  </w:style>
  <w:style w:type="character" w:customStyle="1" w:styleId="18">
    <w:name w:val="З_1 Знак"/>
    <w:locked/>
    <w:rPr>
      <w:rFonts w:eastAsia="Calibri"/>
      <w:b/>
      <w:sz w:val="24"/>
      <w:szCs w:val="24"/>
      <w:lang w:val="uk-UA" w:eastAsia="ru-RU" w:bidi="ar-SA"/>
    </w:rPr>
  </w:style>
  <w:style w:type="paragraph" w:customStyle="1" w:styleId="19">
    <w:name w:val="Абзац списка1"/>
    <w:basedOn w:val="a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paragraph" w:customStyle="1" w:styleId="1a">
    <w:name w:val="Обычный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9">
    <w:name w:val="Table Grid"/>
    <w:basedOn w:val="a3"/>
    <w:rsid w:val="00BB7150"/>
    <w:pPr>
      <w:spacing w:line="264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1"/>
    <w:rsid w:val="001F1DDF"/>
    <w:pPr>
      <w:spacing w:before="100" w:beforeAutospacing="1" w:after="100" w:afterAutospacing="1"/>
    </w:pPr>
    <w:rPr>
      <w:rFonts w:eastAsia="Calibri"/>
    </w:rPr>
  </w:style>
  <w:style w:type="paragraph" w:customStyle="1" w:styleId="affa">
    <w:name w:val="Назва таблиці"/>
    <w:basedOn w:val="af9"/>
    <w:link w:val="affb"/>
    <w:qFormat/>
    <w:rsid w:val="00B02658"/>
    <w:pPr>
      <w:spacing w:before="240" w:after="120"/>
      <w:ind w:left="1780" w:hanging="1213"/>
      <w:jc w:val="left"/>
    </w:pPr>
    <w:rPr>
      <w:sz w:val="26"/>
      <w:szCs w:val="26"/>
    </w:rPr>
  </w:style>
  <w:style w:type="character" w:styleId="affc">
    <w:name w:val="annotation reference"/>
    <w:uiPriority w:val="99"/>
    <w:semiHidden/>
    <w:unhideWhenUsed/>
    <w:rsid w:val="00D73606"/>
    <w:rPr>
      <w:sz w:val="16"/>
      <w:szCs w:val="16"/>
    </w:rPr>
  </w:style>
  <w:style w:type="character" w:customStyle="1" w:styleId="15">
    <w:name w:val="Рисунок Знак1"/>
    <w:link w:val="af9"/>
    <w:rsid w:val="00B02658"/>
    <w:rPr>
      <w:i/>
      <w:sz w:val="24"/>
      <w:szCs w:val="24"/>
      <w:lang w:eastAsia="x-none"/>
    </w:rPr>
  </w:style>
  <w:style w:type="character" w:customStyle="1" w:styleId="affb">
    <w:name w:val="Назва таблиці Знак"/>
    <w:link w:val="affa"/>
    <w:rsid w:val="00B02658"/>
    <w:rPr>
      <w:i/>
      <w:sz w:val="24"/>
      <w:szCs w:val="24"/>
      <w:lang w:eastAsia="x-none"/>
    </w:rPr>
  </w:style>
  <w:style w:type="paragraph" w:styleId="affd">
    <w:name w:val="annotation text"/>
    <w:basedOn w:val="a1"/>
    <w:link w:val="affe"/>
    <w:uiPriority w:val="99"/>
    <w:semiHidden/>
    <w:unhideWhenUsed/>
    <w:rsid w:val="00D73606"/>
    <w:rPr>
      <w:sz w:val="20"/>
      <w:szCs w:val="20"/>
      <w:lang w:eastAsia="x-none"/>
    </w:rPr>
  </w:style>
  <w:style w:type="character" w:customStyle="1" w:styleId="affe">
    <w:name w:val="Текст примітки Знак"/>
    <w:link w:val="affd"/>
    <w:uiPriority w:val="99"/>
    <w:semiHidden/>
    <w:rsid w:val="00D73606"/>
    <w:rPr>
      <w:lang w:val="uk-UA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D73606"/>
    <w:rPr>
      <w:b/>
      <w:bCs/>
    </w:rPr>
  </w:style>
  <w:style w:type="character" w:customStyle="1" w:styleId="afff0">
    <w:name w:val="Тема примітки Знак"/>
    <w:link w:val="afff"/>
    <w:uiPriority w:val="99"/>
    <w:semiHidden/>
    <w:rsid w:val="00D73606"/>
    <w:rPr>
      <w:b/>
      <w:bCs/>
      <w:lang w:val="uk-UA"/>
    </w:rPr>
  </w:style>
  <w:style w:type="character" w:customStyle="1" w:styleId="rvts46">
    <w:name w:val="rvts46"/>
    <w:basedOn w:val="a2"/>
    <w:rsid w:val="00FD3FCE"/>
  </w:style>
  <w:style w:type="character" w:customStyle="1" w:styleId="a6">
    <w:name w:val="Текст виноски Знак"/>
    <w:link w:val="a5"/>
    <w:uiPriority w:val="99"/>
    <w:semiHidden/>
    <w:rsid w:val="000907D6"/>
    <w:rPr>
      <w:lang w:eastAsia="ru-RU"/>
    </w:rPr>
  </w:style>
  <w:style w:type="character" w:customStyle="1" w:styleId="ab">
    <w:name w:val="Нижній колонтитул Знак"/>
    <w:link w:val="aa"/>
    <w:uiPriority w:val="99"/>
    <w:rsid w:val="00DE2A1F"/>
    <w:rPr>
      <w:lang w:val="ru-RU" w:eastAsia="ru-RU"/>
    </w:rPr>
  </w:style>
  <w:style w:type="character" w:customStyle="1" w:styleId="dat">
    <w:name w:val="dat"/>
    <w:basedOn w:val="a2"/>
    <w:rsid w:val="004C25FC"/>
  </w:style>
  <w:style w:type="character" w:customStyle="1" w:styleId="rvts82">
    <w:name w:val="rvts82"/>
    <w:basedOn w:val="a2"/>
    <w:rsid w:val="006F5B54"/>
  </w:style>
  <w:style w:type="paragraph" w:customStyle="1" w:styleId="afff1">
    <w:name w:val="Шапка документу"/>
    <w:basedOn w:val="a1"/>
    <w:rsid w:val="00BC7E19"/>
    <w:pPr>
      <w:keepNext/>
      <w:keepLines/>
      <w:spacing w:after="240"/>
      <w:ind w:left="4536"/>
      <w:jc w:val="center"/>
    </w:pPr>
    <w:rPr>
      <w:rFonts w:ascii="Antiqua" w:hAnsi="Antiqua"/>
      <w:szCs w:val="20"/>
    </w:rPr>
  </w:style>
  <w:style w:type="paragraph" w:customStyle="1" w:styleId="afff2">
    <w:name w:val="Нормальний текст"/>
    <w:basedOn w:val="a1"/>
    <w:rsid w:val="004F7D67"/>
    <w:pPr>
      <w:spacing w:before="120"/>
    </w:pPr>
    <w:rPr>
      <w:rFonts w:ascii="Antiqua" w:hAnsi="Antiqua"/>
      <w:szCs w:val="20"/>
    </w:rPr>
  </w:style>
  <w:style w:type="paragraph" w:customStyle="1" w:styleId="a0">
    <w:name w:val="пункт Полож"/>
    <w:basedOn w:val="1"/>
    <w:link w:val="afff3"/>
    <w:qFormat/>
    <w:rsid w:val="00F5556E"/>
    <w:pPr>
      <w:numPr>
        <w:ilvl w:val="1"/>
        <w:numId w:val="4"/>
      </w:numPr>
      <w:tabs>
        <w:tab w:val="clear" w:pos="9244"/>
      </w:tabs>
      <w:spacing w:before="120" w:after="120"/>
      <w:jc w:val="both"/>
    </w:pPr>
    <w:rPr>
      <w:sz w:val="28"/>
    </w:rPr>
  </w:style>
  <w:style w:type="character" w:customStyle="1" w:styleId="11">
    <w:name w:val="Заголовок 1 Знак"/>
    <w:link w:val="10"/>
    <w:uiPriority w:val="9"/>
    <w:rsid w:val="005D74EB"/>
    <w:rPr>
      <w:rFonts w:eastAsia="Times New Roman"/>
      <w:b/>
      <w:bCs/>
      <w:kern w:val="32"/>
      <w:sz w:val="32"/>
      <w:szCs w:val="32"/>
    </w:rPr>
  </w:style>
  <w:style w:type="character" w:customStyle="1" w:styleId="110">
    <w:name w:val="Маркер 1 Знак1"/>
    <w:link w:val="1"/>
    <w:rsid w:val="005D74EB"/>
    <w:rPr>
      <w:sz w:val="24"/>
      <w:szCs w:val="28"/>
      <w:lang w:eastAsia="en-US" w:bidi="en-US"/>
    </w:rPr>
  </w:style>
  <w:style w:type="character" w:customStyle="1" w:styleId="afff3">
    <w:name w:val="пункт Полож Знак"/>
    <w:link w:val="a0"/>
    <w:rsid w:val="00F5556E"/>
    <w:rPr>
      <w:sz w:val="28"/>
      <w:szCs w:val="28"/>
      <w:lang w:val="uk-UA" w:eastAsia="en-US" w:bidi="en-US"/>
    </w:rPr>
  </w:style>
  <w:style w:type="character" w:customStyle="1" w:styleId="21">
    <w:name w:val="Заголовок 2 Знак"/>
    <w:link w:val="20"/>
    <w:uiPriority w:val="9"/>
    <w:rsid w:val="007D6B23"/>
    <w:rPr>
      <w:rFonts w:ascii="Cambria" w:hAnsi="Cambria"/>
      <w:b/>
      <w:bCs/>
      <w:i/>
      <w:iCs/>
      <w:sz w:val="24"/>
      <w:szCs w:val="24"/>
    </w:rPr>
  </w:style>
  <w:style w:type="character" w:customStyle="1" w:styleId="31">
    <w:name w:val="Заголовок 3 Знак"/>
    <w:link w:val="30"/>
    <w:uiPriority w:val="9"/>
    <w:rsid w:val="005D74EB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4EB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4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D74EB"/>
    <w:rPr>
      <w:b/>
      <w:bCs/>
    </w:rPr>
  </w:style>
  <w:style w:type="character" w:customStyle="1" w:styleId="70">
    <w:name w:val="Заголовок 7 Знак"/>
    <w:link w:val="7"/>
    <w:uiPriority w:val="9"/>
    <w:rsid w:val="005D74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D74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D74EB"/>
    <w:rPr>
      <w:rFonts w:ascii="Cambria" w:eastAsia="Times New Roman" w:hAnsi="Cambria"/>
    </w:rPr>
  </w:style>
  <w:style w:type="character" w:customStyle="1" w:styleId="ad">
    <w:name w:val="Назва Знак"/>
    <w:link w:val="ac"/>
    <w:uiPriority w:val="10"/>
    <w:rsid w:val="005D74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Підзаголовок Знак"/>
    <w:link w:val="af3"/>
    <w:uiPriority w:val="11"/>
    <w:rsid w:val="005D74EB"/>
    <w:rPr>
      <w:rFonts w:ascii="Cambria" w:eastAsia="Times New Roman" w:hAnsi="Cambria" w:cs="Arial"/>
      <w:sz w:val="24"/>
      <w:szCs w:val="24"/>
    </w:rPr>
  </w:style>
  <w:style w:type="paragraph" w:styleId="afff4">
    <w:name w:val="List Paragraph"/>
    <w:basedOn w:val="a1"/>
    <w:uiPriority w:val="34"/>
    <w:qFormat/>
    <w:rsid w:val="005D74EB"/>
    <w:pPr>
      <w:ind w:left="720"/>
      <w:contextualSpacing/>
    </w:pPr>
  </w:style>
  <w:style w:type="paragraph" w:styleId="afff5">
    <w:name w:val="Quote"/>
    <w:basedOn w:val="a1"/>
    <w:next w:val="a1"/>
    <w:link w:val="afff6"/>
    <w:uiPriority w:val="29"/>
    <w:qFormat/>
    <w:rsid w:val="005D74EB"/>
    <w:rPr>
      <w:i/>
    </w:rPr>
  </w:style>
  <w:style w:type="character" w:customStyle="1" w:styleId="afff6">
    <w:name w:val="Цитата Знак"/>
    <w:link w:val="afff5"/>
    <w:uiPriority w:val="29"/>
    <w:rsid w:val="005D74EB"/>
    <w:rPr>
      <w:i/>
      <w:sz w:val="24"/>
      <w:szCs w:val="24"/>
    </w:rPr>
  </w:style>
  <w:style w:type="paragraph" w:styleId="afff7">
    <w:name w:val="Intense Quote"/>
    <w:basedOn w:val="a1"/>
    <w:next w:val="a1"/>
    <w:link w:val="afff8"/>
    <w:uiPriority w:val="30"/>
    <w:qFormat/>
    <w:rsid w:val="005D74EB"/>
    <w:pPr>
      <w:ind w:left="720" w:right="720"/>
    </w:pPr>
    <w:rPr>
      <w:b/>
      <w:i/>
      <w:szCs w:val="22"/>
    </w:rPr>
  </w:style>
  <w:style w:type="character" w:customStyle="1" w:styleId="afff8">
    <w:name w:val="Насичена цитата Знак"/>
    <w:link w:val="afff7"/>
    <w:uiPriority w:val="30"/>
    <w:rsid w:val="005D74EB"/>
    <w:rPr>
      <w:b/>
      <w:i/>
      <w:sz w:val="24"/>
    </w:rPr>
  </w:style>
  <w:style w:type="character" w:styleId="afff9">
    <w:name w:val="Subtle Emphasis"/>
    <w:uiPriority w:val="19"/>
    <w:qFormat/>
    <w:rsid w:val="005D74EB"/>
    <w:rPr>
      <w:i/>
      <w:color w:val="5A5A5A"/>
    </w:rPr>
  </w:style>
  <w:style w:type="character" w:styleId="afffa">
    <w:name w:val="Intense Emphasis"/>
    <w:uiPriority w:val="21"/>
    <w:qFormat/>
    <w:rsid w:val="005D74EB"/>
    <w:rPr>
      <w:b/>
      <w:i/>
      <w:sz w:val="24"/>
      <w:szCs w:val="24"/>
      <w:u w:val="single"/>
    </w:rPr>
  </w:style>
  <w:style w:type="character" w:styleId="afffb">
    <w:name w:val="Subtle Reference"/>
    <w:uiPriority w:val="31"/>
    <w:qFormat/>
    <w:rsid w:val="005D74EB"/>
    <w:rPr>
      <w:sz w:val="24"/>
      <w:szCs w:val="24"/>
      <w:u w:val="single"/>
    </w:rPr>
  </w:style>
  <w:style w:type="character" w:styleId="afffc">
    <w:name w:val="Intense Reference"/>
    <w:uiPriority w:val="32"/>
    <w:qFormat/>
    <w:rsid w:val="005D74EB"/>
    <w:rPr>
      <w:b/>
      <w:sz w:val="24"/>
      <w:u w:val="single"/>
    </w:rPr>
  </w:style>
  <w:style w:type="character" w:styleId="afffd">
    <w:name w:val="Book Title"/>
    <w:uiPriority w:val="33"/>
    <w:qFormat/>
    <w:rsid w:val="005D74EB"/>
    <w:rPr>
      <w:rFonts w:ascii="Cambria" w:eastAsia="Times New Roman" w:hAnsi="Cambria"/>
      <w:b/>
      <w:i/>
      <w:sz w:val="24"/>
      <w:szCs w:val="24"/>
    </w:rPr>
  </w:style>
  <w:style w:type="paragraph" w:customStyle="1" w:styleId="-">
    <w:name w:val="підпункт-список"/>
    <w:basedOn w:val="a0"/>
    <w:link w:val="-0"/>
    <w:qFormat/>
    <w:rsid w:val="005F2CC4"/>
    <w:pPr>
      <w:numPr>
        <w:ilvl w:val="2"/>
        <w:numId w:val="5"/>
      </w:numPr>
      <w:tabs>
        <w:tab w:val="left" w:pos="1276"/>
      </w:tabs>
      <w:contextualSpacing/>
    </w:pPr>
  </w:style>
  <w:style w:type="paragraph" w:customStyle="1" w:styleId="afffe">
    <w:name w:val="додаток №"/>
    <w:basedOn w:val="10"/>
    <w:link w:val="affff"/>
    <w:qFormat/>
    <w:rsid w:val="001931F1"/>
    <w:pPr>
      <w:jc w:val="right"/>
    </w:pPr>
    <w:rPr>
      <w:sz w:val="28"/>
      <w:szCs w:val="28"/>
    </w:rPr>
  </w:style>
  <w:style w:type="character" w:customStyle="1" w:styleId="-0">
    <w:name w:val="підпункт-список Знак"/>
    <w:link w:val="-"/>
    <w:rsid w:val="005F2CC4"/>
    <w:rPr>
      <w:sz w:val="28"/>
      <w:szCs w:val="28"/>
      <w:lang w:eastAsia="en-US" w:bidi="en-US"/>
    </w:rPr>
  </w:style>
  <w:style w:type="character" w:customStyle="1" w:styleId="affff">
    <w:name w:val="додаток № Знак"/>
    <w:link w:val="afffe"/>
    <w:rsid w:val="001931F1"/>
    <w:rPr>
      <w:rFonts w:eastAsia="Times New Roman"/>
      <w:b/>
      <w:bCs/>
      <w:kern w:val="32"/>
      <w:sz w:val="28"/>
      <w:szCs w:val="28"/>
    </w:rPr>
  </w:style>
  <w:style w:type="paragraph" w:customStyle="1" w:styleId="affff0">
    <w:name w:val="_таб"/>
    <w:link w:val="affff1"/>
    <w:qFormat/>
    <w:rsid w:val="00ED3213"/>
    <w:pPr>
      <w:spacing w:line="264" w:lineRule="auto"/>
      <w:jc w:val="center"/>
    </w:pPr>
    <w:rPr>
      <w:sz w:val="24"/>
      <w:szCs w:val="24"/>
      <w:lang w:val="uk-UA" w:eastAsia="uk-UA"/>
    </w:rPr>
  </w:style>
  <w:style w:type="character" w:customStyle="1" w:styleId="affff1">
    <w:name w:val="_таб Знак"/>
    <w:link w:val="affff0"/>
    <w:rsid w:val="00ED3213"/>
    <w:rPr>
      <w:sz w:val="24"/>
      <w:szCs w:val="24"/>
    </w:rPr>
  </w:style>
  <w:style w:type="paragraph" w:customStyle="1" w:styleId="affff2">
    <w:name w:val="коментар"/>
    <w:basedOn w:val="a1"/>
    <w:link w:val="affff3"/>
    <w:qFormat/>
    <w:rsid w:val="00FB23BD"/>
    <w:pPr>
      <w:pBdr>
        <w:top w:val="single" w:sz="4" w:space="1" w:color="auto"/>
        <w:bottom w:val="single" w:sz="4" w:space="1" w:color="auto"/>
      </w:pBdr>
      <w:shd w:val="clear" w:color="auto" w:fill="FF7A5B"/>
      <w:jc w:val="center"/>
    </w:pPr>
    <w:rPr>
      <w:sz w:val="32"/>
      <w:szCs w:val="32"/>
    </w:rPr>
  </w:style>
  <w:style w:type="paragraph" w:customStyle="1" w:styleId="affff4">
    <w:name w:val="пункт положення"/>
    <w:basedOn w:val="10"/>
    <w:link w:val="affff5"/>
    <w:qFormat/>
    <w:rsid w:val="00FB23BD"/>
    <w:pPr>
      <w:keepNext w:val="0"/>
      <w:spacing w:after="120"/>
      <w:contextualSpacing/>
      <w:jc w:val="both"/>
    </w:pPr>
    <w:rPr>
      <w:rFonts w:eastAsia="Calibri" w:cs="Calibri"/>
      <w:b w:val="0"/>
      <w:bCs w:val="0"/>
      <w:kern w:val="0"/>
      <w:sz w:val="28"/>
      <w:szCs w:val="28"/>
      <w:lang w:eastAsia="ru-RU"/>
    </w:rPr>
  </w:style>
  <w:style w:type="character" w:customStyle="1" w:styleId="affff3">
    <w:name w:val="коментар Знак"/>
    <w:link w:val="affff2"/>
    <w:rsid w:val="00FB23BD"/>
    <w:rPr>
      <w:sz w:val="32"/>
      <w:szCs w:val="32"/>
      <w:shd w:val="clear" w:color="auto" w:fill="FF7A5B"/>
    </w:rPr>
  </w:style>
  <w:style w:type="character" w:customStyle="1" w:styleId="affff5">
    <w:name w:val="пункт положення Знак"/>
    <w:link w:val="affff4"/>
    <w:rsid w:val="00FB23BD"/>
    <w:rPr>
      <w:rFonts w:eastAsia="Calibri" w:cs="Calibri"/>
      <w:sz w:val="28"/>
      <w:szCs w:val="28"/>
      <w:lang w:eastAsia="ru-RU"/>
    </w:rPr>
  </w:style>
  <w:style w:type="paragraph" w:customStyle="1" w:styleId="affff6">
    <w:name w:val="Розділ положення"/>
    <w:basedOn w:val="10"/>
    <w:next w:val="a1"/>
    <w:link w:val="affff7"/>
    <w:qFormat/>
    <w:rsid w:val="00681302"/>
    <w:pPr>
      <w:tabs>
        <w:tab w:val="left" w:pos="284"/>
      </w:tabs>
      <w:spacing w:before="360" w:after="0"/>
      <w:contextualSpacing/>
    </w:pPr>
    <w:rPr>
      <w:rFonts w:eastAsia="Calibri" w:cs="Calibri"/>
      <w:bCs w:val="0"/>
      <w:kern w:val="0"/>
      <w:lang w:eastAsia="ru-RU"/>
    </w:rPr>
  </w:style>
  <w:style w:type="character" w:customStyle="1" w:styleId="affff7">
    <w:name w:val="Розділ положення Знак"/>
    <w:link w:val="affff6"/>
    <w:rsid w:val="00681302"/>
    <w:rPr>
      <w:rFonts w:eastAsia="Calibri" w:cs="Calibri"/>
      <w:b/>
      <w:sz w:val="32"/>
      <w:szCs w:val="32"/>
      <w:lang w:eastAsia="ru-RU"/>
    </w:rPr>
  </w:style>
  <w:style w:type="table" w:customStyle="1" w:styleId="1b">
    <w:name w:val="Сетка таблицы1"/>
    <w:basedOn w:val="a3"/>
    <w:next w:val="aff9"/>
    <w:uiPriority w:val="59"/>
    <w:rsid w:val="00ED1C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ій колонтитул Знак"/>
    <w:basedOn w:val="a2"/>
    <w:link w:val="af0"/>
    <w:semiHidden/>
    <w:rsid w:val="00C45725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6-2019-%D0%B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21A1-0E12-447B-A90A-581B0B7B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12157</Words>
  <Characters>6930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ПООП</vt:lpstr>
      <vt:lpstr>ПООП</vt:lpstr>
    </vt:vector>
  </TitlesOfParts>
  <Company>NMV KPI</Company>
  <LinksUpToDate>false</LinksUpToDate>
  <CharactersWithSpaces>19049</CharactersWithSpaces>
  <SharedDoc>false</SharedDoc>
  <HLinks>
    <vt:vector size="456" baseType="variant">
      <vt:variant>
        <vt:i4>3473446</vt:i4>
      </vt:variant>
      <vt:variant>
        <vt:i4>483</vt:i4>
      </vt:variant>
      <vt:variant>
        <vt:i4>0</vt:i4>
      </vt:variant>
      <vt:variant>
        <vt:i4>5</vt:i4>
      </vt:variant>
      <vt:variant>
        <vt:lpwstr>http://zakon3.rada.gov.ua/laws/show/z0793-16</vt:lpwstr>
      </vt:variant>
      <vt:variant>
        <vt:lpwstr>n78</vt:lpwstr>
      </vt:variant>
      <vt:variant>
        <vt:i4>7536751</vt:i4>
      </vt:variant>
      <vt:variant>
        <vt:i4>480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2228269</vt:i4>
      </vt:variant>
      <vt:variant>
        <vt:i4>477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2228269</vt:i4>
      </vt:variant>
      <vt:variant>
        <vt:i4>474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7536751</vt:i4>
      </vt:variant>
      <vt:variant>
        <vt:i4>471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1048594</vt:i4>
      </vt:variant>
      <vt:variant>
        <vt:i4>426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423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420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417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7536751</vt:i4>
      </vt:variant>
      <vt:variant>
        <vt:i4>399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1179711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_Toc517257818</vt:lpwstr>
      </vt:variant>
      <vt:variant>
        <vt:i4>1179711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_Toc517257817</vt:lpwstr>
      </vt:variant>
      <vt:variant>
        <vt:i4>1179711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_Toc517257816</vt:lpwstr>
      </vt:variant>
      <vt:variant>
        <vt:i4>1179711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_Toc517257815</vt:lpwstr>
      </vt:variant>
      <vt:variant>
        <vt:i4>1179711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_Toc517257814</vt:lpwstr>
      </vt:variant>
      <vt:variant>
        <vt:i4>1179711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_Toc517257813</vt:lpwstr>
      </vt:variant>
      <vt:variant>
        <vt:i4>1179711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_Toc517257812</vt:lpwstr>
      </vt:variant>
      <vt:variant>
        <vt:i4>1179711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_Toc517257811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_Toc517257810</vt:lpwstr>
      </vt:variant>
      <vt:variant>
        <vt:i4>1245247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_Toc517257809</vt:lpwstr>
      </vt:variant>
      <vt:variant>
        <vt:i4>1245247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_Toc517257808</vt:lpwstr>
      </vt:variant>
      <vt:variant>
        <vt:i4>1245247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_Toc517257807</vt:lpwstr>
      </vt:variant>
      <vt:variant>
        <vt:i4>1245247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_Toc517257806</vt:lpwstr>
      </vt:variant>
      <vt:variant>
        <vt:i4>1245247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_Toc517257805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_Toc517257804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_Toc517257803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_Toc517257802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_Toc517257801</vt:lpwstr>
      </vt:variant>
      <vt:variant>
        <vt:i4>1245247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_Toc517257800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_Toc517257799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_Toc517257798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_Toc517257797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_Toc517257796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_Toc517257795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_Toc517257794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_Toc517257793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_Toc517257792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_Toc517257791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_Toc517257790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_Toc517257789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_Toc517257788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_Toc517257786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_Toc517257785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_Toc517257784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_Toc517257783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_Toc517257781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_Toc517257780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_Toc517257779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_Toc517257778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_Toc517257777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_Toc517257776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_Toc517257775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_Toc517257774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_Toc517257773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_Toc517257772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_Toc517257771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_Toc517257770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_Toc517257769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_Toc517257768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_Toc517257767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_Toc517257766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_Toc517257765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_Toc517257764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_Toc517257763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_Toc517257762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_Toc517257761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_Toc517257760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_Toc517257759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_Toc517257758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_Toc517257757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_Toc517257756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_Toc517257755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_Toc517257754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_Toc517257753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_Toc517257752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_Toc517257751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ПООП</dc:title>
  <dc:creator>Тетяна Желяскова</dc:creator>
  <cp:keywords>Положення;освітній процес</cp:keywords>
  <cp:lastModifiedBy>Serhii Burian</cp:lastModifiedBy>
  <cp:revision>29</cp:revision>
  <cp:lastPrinted>2020-07-13T10:39:00Z</cp:lastPrinted>
  <dcterms:created xsi:type="dcterms:W3CDTF">2023-02-27T12:24:00Z</dcterms:created>
  <dcterms:modified xsi:type="dcterms:W3CDTF">2023-02-28T10:42:00Z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5704bf5e0ae4784593ae3913520e7ade7e40278d8f66a71534b450586a05e737</vt:lpwstr>
  </property>
</Properties>
</file>